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B1FE2" w:rsidRPr="00333E64" w:rsidRDefault="00333E64" w:rsidP="00333E64">
      <w:pPr>
        <w:spacing w:after="0"/>
        <w:ind w:firstLine="567"/>
        <w:contextualSpacing/>
        <w:jc w:val="right"/>
        <w:rPr>
          <w:rFonts w:ascii="Times New Roman" w:hAnsi="Times New Roman" w:cs="Times New Roman"/>
          <w:b/>
          <w:sz w:val="28"/>
          <w:szCs w:val="28"/>
        </w:rPr>
      </w:pPr>
      <w:r w:rsidRPr="00333E64">
        <w:rPr>
          <w:rFonts w:ascii="Times New Roman" w:hAnsi="Times New Roman" w:cs="Times New Roman"/>
          <w:b/>
          <w:sz w:val="28"/>
          <w:szCs w:val="28"/>
        </w:rPr>
        <w:t>Удовенко Ірина Олександрівна</w:t>
      </w:r>
    </w:p>
    <w:p w:rsidR="00333E64" w:rsidRPr="00333E64" w:rsidRDefault="00333E64" w:rsidP="00333E6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к. е. н., доцент</w:t>
      </w:r>
    </w:p>
    <w:p w:rsidR="00333E64" w:rsidRDefault="00333E64" w:rsidP="00333E6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333E64">
        <w:rPr>
          <w:rFonts w:ascii="Times New Roman" w:hAnsi="Times New Roman" w:cs="Times New Roman"/>
          <w:sz w:val="28"/>
          <w:szCs w:val="28"/>
        </w:rPr>
        <w:t>ORCID ID: 0000L0001L5971L8365</w:t>
      </w:r>
    </w:p>
    <w:p w:rsidR="00333E64" w:rsidRPr="00333E64" w:rsidRDefault="00333E64" w:rsidP="00333E64">
      <w:pPr>
        <w:spacing w:after="0"/>
        <w:ind w:firstLine="567"/>
        <w:contextualSpacing/>
        <w:jc w:val="right"/>
        <w:rPr>
          <w:rFonts w:ascii="Times New Roman" w:hAnsi="Times New Roman" w:cs="Times New Roman"/>
          <w:b/>
          <w:sz w:val="28"/>
          <w:szCs w:val="28"/>
        </w:rPr>
      </w:pPr>
      <w:r w:rsidRPr="00333E64">
        <w:rPr>
          <w:rFonts w:ascii="Times New Roman" w:hAnsi="Times New Roman" w:cs="Times New Roman"/>
          <w:b/>
          <w:sz w:val="28"/>
          <w:szCs w:val="28"/>
        </w:rPr>
        <w:t>Рудий Роман Михайлович</w:t>
      </w:r>
    </w:p>
    <w:p w:rsidR="00333E64" w:rsidRDefault="00333E64" w:rsidP="00333E6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д. </w:t>
      </w:r>
      <w:proofErr w:type="spellStart"/>
      <w:r>
        <w:rPr>
          <w:rFonts w:ascii="Times New Roman" w:hAnsi="Times New Roman" w:cs="Times New Roman"/>
          <w:sz w:val="28"/>
          <w:szCs w:val="28"/>
        </w:rPr>
        <w:t>техн.н</w:t>
      </w:r>
      <w:proofErr w:type="spellEnd"/>
      <w:r>
        <w:rPr>
          <w:rFonts w:ascii="Times New Roman" w:hAnsi="Times New Roman" w:cs="Times New Roman"/>
          <w:sz w:val="28"/>
          <w:szCs w:val="28"/>
        </w:rPr>
        <w:t>, професор</w:t>
      </w:r>
    </w:p>
    <w:p w:rsidR="00333E64" w:rsidRPr="00333E64" w:rsidRDefault="00333E64" w:rsidP="00333E6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333E64">
        <w:rPr>
          <w:rFonts w:ascii="Times New Roman" w:hAnsi="Times New Roman" w:cs="Times New Roman"/>
          <w:b/>
          <w:sz w:val="28"/>
          <w:szCs w:val="28"/>
        </w:rPr>
        <w:t>Шемякін Михайло Васильович</w:t>
      </w:r>
    </w:p>
    <w:p w:rsidR="00333E64" w:rsidRPr="00333E64" w:rsidRDefault="00333E64" w:rsidP="00333E6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333E64">
        <w:rPr>
          <w:rFonts w:ascii="Times New Roman" w:hAnsi="Times New Roman" w:cs="Times New Roman"/>
          <w:sz w:val="28"/>
          <w:szCs w:val="28"/>
        </w:rPr>
        <w:t xml:space="preserve">к. </w:t>
      </w:r>
      <w:proofErr w:type="spellStart"/>
      <w:r w:rsidRPr="00333E64">
        <w:rPr>
          <w:rFonts w:ascii="Times New Roman" w:hAnsi="Times New Roman" w:cs="Times New Roman"/>
          <w:sz w:val="28"/>
          <w:szCs w:val="28"/>
        </w:rPr>
        <w:t>с.</w:t>
      </w:r>
      <w:r>
        <w:rPr>
          <w:rFonts w:ascii="Times New Roman" w:hAnsi="Times New Roman" w:cs="Times New Roman"/>
          <w:sz w:val="28"/>
          <w:szCs w:val="28"/>
        </w:rPr>
        <w:t>г</w:t>
      </w:r>
      <w:proofErr w:type="spellEnd"/>
      <w:r>
        <w:rPr>
          <w:rFonts w:ascii="Times New Roman" w:hAnsi="Times New Roman" w:cs="Times New Roman"/>
          <w:sz w:val="28"/>
          <w:szCs w:val="28"/>
        </w:rPr>
        <w:t>. н., доцент</w:t>
      </w:r>
    </w:p>
    <w:p w:rsidR="00333E64" w:rsidRDefault="00333E64" w:rsidP="00333E64">
      <w:pPr>
        <w:spacing w:after="0"/>
        <w:ind w:firstLine="567"/>
        <w:contextualSpacing/>
        <w:jc w:val="right"/>
        <w:rPr>
          <w:rFonts w:ascii="Times New Roman" w:hAnsi="Times New Roman" w:cs="Times New Roman"/>
          <w:sz w:val="28"/>
          <w:szCs w:val="28"/>
        </w:rPr>
      </w:pPr>
      <w:r w:rsidRPr="00333E64">
        <w:rPr>
          <w:rFonts w:ascii="Times New Roman" w:hAnsi="Times New Roman" w:cs="Times New Roman"/>
          <w:sz w:val="28"/>
          <w:szCs w:val="28"/>
        </w:rPr>
        <w:t>ORCID ID: 0000L0002L8323L5053</w:t>
      </w:r>
    </w:p>
    <w:p w:rsidR="00333E64" w:rsidRPr="00333E64" w:rsidRDefault="00333E64" w:rsidP="00333E64">
      <w:pPr>
        <w:spacing w:after="0"/>
        <w:ind w:firstLine="567"/>
        <w:contextualSpacing/>
        <w:jc w:val="right"/>
        <w:rPr>
          <w:rFonts w:ascii="Times New Roman" w:hAnsi="Times New Roman" w:cs="Times New Roman"/>
          <w:b/>
          <w:sz w:val="28"/>
          <w:szCs w:val="28"/>
        </w:rPr>
      </w:pPr>
      <w:r w:rsidRPr="00333E64">
        <w:rPr>
          <w:rFonts w:ascii="Times New Roman" w:hAnsi="Times New Roman" w:cs="Times New Roman"/>
          <w:b/>
          <w:sz w:val="28"/>
          <w:szCs w:val="28"/>
        </w:rPr>
        <w:t>Кисельов Юрій Олександрович</w:t>
      </w:r>
    </w:p>
    <w:p w:rsidR="00333E64" w:rsidRDefault="00333E64" w:rsidP="00333E64">
      <w:pPr>
        <w:spacing w:after="0"/>
        <w:ind w:firstLine="567"/>
        <w:contextualSpacing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д. </w:t>
      </w:r>
      <w:proofErr w:type="spellStart"/>
      <w:r>
        <w:rPr>
          <w:rFonts w:ascii="Times New Roman" w:hAnsi="Times New Roman" w:cs="Times New Roman"/>
          <w:sz w:val="28"/>
          <w:szCs w:val="28"/>
        </w:rPr>
        <w:t>техн.н</w:t>
      </w:r>
      <w:proofErr w:type="spellEnd"/>
      <w:r>
        <w:rPr>
          <w:rFonts w:ascii="Times New Roman" w:hAnsi="Times New Roman" w:cs="Times New Roman"/>
          <w:sz w:val="28"/>
          <w:szCs w:val="28"/>
        </w:rPr>
        <w:t>, професор</w:t>
      </w:r>
    </w:p>
    <w:p w:rsidR="00333E64" w:rsidRPr="00333E64" w:rsidRDefault="00333E64" w:rsidP="00333E64">
      <w:pPr>
        <w:spacing w:after="0"/>
        <w:ind w:firstLine="567"/>
        <w:contextualSpacing/>
        <w:jc w:val="right"/>
        <w:rPr>
          <w:rFonts w:ascii="Times New Roman" w:hAnsi="Times New Roman" w:cs="Times New Roman"/>
          <w:b/>
          <w:sz w:val="28"/>
          <w:szCs w:val="28"/>
        </w:rPr>
      </w:pPr>
      <w:r w:rsidRPr="00333E64">
        <w:rPr>
          <w:rFonts w:ascii="Times New Roman" w:hAnsi="Times New Roman" w:cs="Times New Roman"/>
          <w:b/>
          <w:sz w:val="28"/>
          <w:szCs w:val="28"/>
        </w:rPr>
        <w:t>Боровик Петро Миколайович</w:t>
      </w:r>
    </w:p>
    <w:p w:rsidR="00333E64" w:rsidRPr="00333E64" w:rsidRDefault="00333E64" w:rsidP="00333E6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к. е. н., доцент</w:t>
      </w:r>
    </w:p>
    <w:p w:rsidR="00333E64" w:rsidRPr="00333E64" w:rsidRDefault="00333E64" w:rsidP="00333E64">
      <w:pPr>
        <w:spacing w:after="0"/>
        <w:ind w:firstLine="567"/>
        <w:contextualSpacing/>
        <w:jc w:val="right"/>
        <w:rPr>
          <w:rFonts w:ascii="Times New Roman" w:hAnsi="Times New Roman" w:cs="Times New Roman"/>
          <w:b/>
          <w:sz w:val="28"/>
          <w:szCs w:val="28"/>
        </w:rPr>
      </w:pPr>
      <w:r w:rsidRPr="00333E64">
        <w:rPr>
          <w:rFonts w:ascii="Times New Roman" w:hAnsi="Times New Roman" w:cs="Times New Roman"/>
          <w:b/>
          <w:sz w:val="28"/>
          <w:szCs w:val="28"/>
        </w:rPr>
        <w:t>Кирилюк Володимир Петрович</w:t>
      </w:r>
    </w:p>
    <w:p w:rsidR="00333E64" w:rsidRPr="00333E64" w:rsidRDefault="00333E64" w:rsidP="00333E6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333E64">
        <w:rPr>
          <w:rFonts w:ascii="Times New Roman" w:hAnsi="Times New Roman" w:cs="Times New Roman"/>
          <w:sz w:val="28"/>
          <w:szCs w:val="28"/>
        </w:rPr>
        <w:t xml:space="preserve">к. </w:t>
      </w:r>
      <w:proofErr w:type="spellStart"/>
      <w:r w:rsidRPr="00333E64">
        <w:rPr>
          <w:rFonts w:ascii="Times New Roman" w:hAnsi="Times New Roman" w:cs="Times New Roman"/>
          <w:sz w:val="28"/>
          <w:szCs w:val="28"/>
        </w:rPr>
        <w:t>с.</w:t>
      </w:r>
      <w:r>
        <w:rPr>
          <w:rFonts w:ascii="Times New Roman" w:hAnsi="Times New Roman" w:cs="Times New Roman"/>
          <w:sz w:val="28"/>
          <w:szCs w:val="28"/>
        </w:rPr>
        <w:t>г</w:t>
      </w:r>
      <w:proofErr w:type="spellEnd"/>
      <w:r>
        <w:rPr>
          <w:rFonts w:ascii="Times New Roman" w:hAnsi="Times New Roman" w:cs="Times New Roman"/>
          <w:sz w:val="28"/>
          <w:szCs w:val="28"/>
        </w:rPr>
        <w:t>. н., доцент</w:t>
      </w:r>
    </w:p>
    <w:p w:rsidR="00333E64" w:rsidRPr="00333E64" w:rsidRDefault="00333E64" w:rsidP="00333E6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333E64">
        <w:rPr>
          <w:rFonts w:ascii="Times New Roman" w:hAnsi="Times New Roman" w:cs="Times New Roman"/>
          <w:sz w:val="28"/>
          <w:szCs w:val="28"/>
        </w:rPr>
        <w:t>Уманський національний університет садівництва</w:t>
      </w:r>
    </w:p>
    <w:p w:rsidR="00333E64" w:rsidRDefault="00333E64" w:rsidP="00333E64">
      <w:pPr>
        <w:spacing w:after="0"/>
        <w:ind w:firstLine="567"/>
        <w:contextualSpacing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м. Умань</w:t>
      </w:r>
    </w:p>
    <w:p w:rsidR="0003295E" w:rsidRDefault="0003295E" w:rsidP="00333E64">
      <w:pPr>
        <w:spacing w:after="0"/>
        <w:ind w:firstLine="567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B1FE2" w:rsidRPr="00333E64" w:rsidRDefault="00333E64" w:rsidP="00333E64">
      <w:pPr>
        <w:spacing w:after="0"/>
        <w:ind w:firstLine="567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 w:rsidRPr="00333E64">
        <w:rPr>
          <w:rFonts w:ascii="Times New Roman" w:hAnsi="Times New Roman" w:cs="Times New Roman"/>
          <w:b/>
          <w:sz w:val="28"/>
          <w:szCs w:val="28"/>
        </w:rPr>
        <w:t>РОЛЬ ЕКОНОМІЧНОЇ ОЦІНКИ ЗЕМЕЛЬНИХ РЕСУРСІВ У ВИЗНАЧЕННІ ПРОДУКТИВНОСТІ ЗЕМЕЛЬ</w:t>
      </w:r>
    </w:p>
    <w:p w:rsidR="000F68D9" w:rsidRPr="006B1FE2" w:rsidRDefault="000F68D9" w:rsidP="006B1FE2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6B1FE2">
        <w:rPr>
          <w:rFonts w:ascii="Times New Roman" w:hAnsi="Times New Roman" w:cs="Times New Roman"/>
          <w:sz w:val="28"/>
          <w:szCs w:val="28"/>
        </w:rPr>
        <w:t>Земля є найбільшою цінністю нашої країни, кожного її громадянина. Україна виділяється серед інших європейських держав своїм надзвичайно потужним земельно-ресурсним потенціалом та значною різноманітністю природних умов.</w:t>
      </w:r>
    </w:p>
    <w:p w:rsidR="000F68D9" w:rsidRPr="006B1FE2" w:rsidRDefault="000F68D9" w:rsidP="006B1FE2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6B1FE2">
        <w:rPr>
          <w:rFonts w:ascii="Times New Roman" w:hAnsi="Times New Roman" w:cs="Times New Roman"/>
          <w:sz w:val="28"/>
          <w:szCs w:val="28"/>
        </w:rPr>
        <w:t>«Земля – предмет, знаряддя і засіб праці та виробничі відносини, які виникають у процесі її використання й привласнення результатів праці. Земля – природне середовище, в якому народжується і живе людина, природна матерія і територіальний простір існування та розвитку людського суспільства, матеріальна основа виробництва» [</w:t>
      </w:r>
      <w:r w:rsidR="006B1FE2" w:rsidRPr="006B1FE2">
        <w:rPr>
          <w:rFonts w:ascii="Times New Roman" w:hAnsi="Times New Roman" w:cs="Times New Roman"/>
          <w:sz w:val="28"/>
          <w:szCs w:val="28"/>
        </w:rPr>
        <w:t>1</w:t>
      </w:r>
      <w:r w:rsidRPr="006B1FE2">
        <w:rPr>
          <w:rFonts w:ascii="Times New Roman" w:hAnsi="Times New Roman" w:cs="Times New Roman"/>
          <w:sz w:val="28"/>
          <w:szCs w:val="28"/>
        </w:rPr>
        <w:t xml:space="preserve">, с. 15]. </w:t>
      </w:r>
    </w:p>
    <w:p w:rsidR="000F68D9" w:rsidRPr="006B1FE2" w:rsidRDefault="000F68D9" w:rsidP="006B1FE2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6B1FE2">
        <w:rPr>
          <w:rFonts w:ascii="Times New Roman" w:hAnsi="Times New Roman" w:cs="Times New Roman"/>
          <w:sz w:val="28"/>
          <w:szCs w:val="28"/>
        </w:rPr>
        <w:t>Країна вступила у новий етап соціально-економічного розвитку, коли земельні відносини і землекористування мають набути якісно нових рис. У нашій країні накопичений багатий науковий і виробничий досвід захисту земель від деградації і підвищення їх продуктивності в умовах централізованої і планової системи управління агропромисловим комплексом, безкоштовного землекористування, монополії державної власності на землю з переважанням великих сільськогосподарських підприємств.</w:t>
      </w:r>
    </w:p>
    <w:p w:rsidR="00124E1C" w:rsidRPr="006B1FE2" w:rsidRDefault="000F68D9" w:rsidP="006B1FE2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6B1FE2">
        <w:rPr>
          <w:rFonts w:ascii="Times New Roman" w:hAnsi="Times New Roman" w:cs="Times New Roman"/>
          <w:sz w:val="28"/>
          <w:szCs w:val="28"/>
        </w:rPr>
        <w:t xml:space="preserve">У процесі соціально-економічних перетворень в країні створена нова економічна система, заснована на ринкових відносинах: введене різноманіття форм власності і сплачуваність землекористування; на основі колишніх колгоспів і радгоспів створені АТ, КФХ, СПК, ТОВ; земля придбала статус нерухомості і включена в оборот. У ході реформ скорочені об'єми робіт по </w:t>
      </w:r>
      <w:r w:rsidRPr="006B1FE2">
        <w:rPr>
          <w:rFonts w:ascii="Times New Roman" w:hAnsi="Times New Roman" w:cs="Times New Roman"/>
          <w:sz w:val="28"/>
          <w:szCs w:val="28"/>
        </w:rPr>
        <w:lastRenderedPageBreak/>
        <w:t>меліорації земель і захист</w:t>
      </w:r>
      <w:r w:rsidR="006B1FE2">
        <w:rPr>
          <w:rFonts w:ascii="Times New Roman" w:hAnsi="Times New Roman" w:cs="Times New Roman"/>
          <w:sz w:val="28"/>
          <w:szCs w:val="28"/>
        </w:rPr>
        <w:t>у ґрунтів від ерозії, ослаблена</w:t>
      </w:r>
      <w:r w:rsidRPr="006B1FE2">
        <w:rPr>
          <w:rFonts w:ascii="Times New Roman" w:hAnsi="Times New Roman" w:cs="Times New Roman"/>
          <w:sz w:val="28"/>
          <w:szCs w:val="28"/>
        </w:rPr>
        <w:t xml:space="preserve"> увага збереженню і підвищенню родючості </w:t>
      </w:r>
      <w:r w:rsidR="006B1FE2" w:rsidRPr="006B1FE2">
        <w:rPr>
          <w:rFonts w:ascii="Times New Roman" w:hAnsi="Times New Roman" w:cs="Times New Roman"/>
          <w:sz w:val="28"/>
          <w:szCs w:val="28"/>
        </w:rPr>
        <w:t>ґрунтів [2</w:t>
      </w:r>
      <w:r w:rsidRPr="006B1FE2">
        <w:rPr>
          <w:rFonts w:ascii="Times New Roman" w:hAnsi="Times New Roman" w:cs="Times New Roman"/>
          <w:sz w:val="28"/>
          <w:szCs w:val="28"/>
        </w:rPr>
        <w:t>].</w:t>
      </w:r>
    </w:p>
    <w:p w:rsidR="000F68D9" w:rsidRPr="006B1FE2" w:rsidRDefault="000F68D9" w:rsidP="006B1FE2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6B1FE2">
        <w:rPr>
          <w:rFonts w:ascii="Times New Roman" w:hAnsi="Times New Roman" w:cs="Times New Roman"/>
          <w:sz w:val="28"/>
          <w:szCs w:val="28"/>
        </w:rPr>
        <w:t>Земельна реформа в Україні — це створення умов для розвитку багатоукладності в економіці, справедливого і обґрунтованого перерозподілу земель, переходу до економічних методів управління земельними ресурсами. Але в даний час, з розвитком ринку землі та ринкових відносин в країні в цілому, ця проблема вимагає детального аналізу і дослідження та розробки на цій основі якісно нових фахових підходів.</w:t>
      </w:r>
    </w:p>
    <w:p w:rsidR="000F68D9" w:rsidRPr="006B1FE2" w:rsidRDefault="000F68D9" w:rsidP="006B1FE2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6B1FE2">
        <w:rPr>
          <w:rFonts w:ascii="Times New Roman" w:hAnsi="Times New Roman" w:cs="Times New Roman"/>
          <w:sz w:val="28"/>
          <w:szCs w:val="28"/>
        </w:rPr>
        <w:t xml:space="preserve">Основним принципом реформування земельних відносин стало подолання монополії держави на земельну власність і становлення </w:t>
      </w:r>
      <w:proofErr w:type="spellStart"/>
      <w:r w:rsidRPr="006B1FE2">
        <w:rPr>
          <w:rFonts w:ascii="Times New Roman" w:hAnsi="Times New Roman" w:cs="Times New Roman"/>
          <w:sz w:val="28"/>
          <w:szCs w:val="28"/>
        </w:rPr>
        <w:t>багатосуб’єктності</w:t>
      </w:r>
      <w:proofErr w:type="spellEnd"/>
      <w:r w:rsidRPr="006B1FE2">
        <w:rPr>
          <w:rFonts w:ascii="Times New Roman" w:hAnsi="Times New Roman" w:cs="Times New Roman"/>
          <w:sz w:val="28"/>
          <w:szCs w:val="28"/>
        </w:rPr>
        <w:t xml:space="preserve"> права власності на землю. Сучасні методи оцінки землі, що ґрунтуються на застосуванні математичних методів і ПК, суттєво зменшують суб’єктивізм. Від фахівців оціночної діяльності у землевпорядній галузі вимагається високий рівень теоретичної підготовки, конкретне знання економіки, техніки, технології і політики, виробничих можливостей і потреб, а також методів планування оцінки земель. Якість здійснюваної оцінки у першу чергу залежить від досвіду, рівня кваліфікації та ерудиції, енергії спеціаліста, який здійснює оціночну діяльність. Основними показниками, за якими проводиться економічна оцінка земель, є продуктивність земель, ефективність їх використання та доходність з одиниці площі. Економічна оцінка земель як вид земельно-кадастрової діяльності має спільні ознаки з бонітуванням Ґрунтів у частині визначення продуктивності сільськогосподарських угідь. Водночас аналіз показує, що економічна оцінка містить відомості не лише про природні властивості землі, а й дані економічного характеру щодо ефективності використання земель, рівня доходу з певної площі, які в свою чергу залежать від місця розміщення земельної ділянки, ринків збуту продукції, екологічного стану території чи регіону, транспортних сполучень тощо. </w:t>
      </w:r>
    </w:p>
    <w:p w:rsidR="000F68D9" w:rsidRPr="006B1FE2" w:rsidRDefault="000F68D9" w:rsidP="006B1FE2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6B1FE2">
        <w:rPr>
          <w:rFonts w:ascii="Times New Roman" w:hAnsi="Times New Roman" w:cs="Times New Roman"/>
          <w:sz w:val="28"/>
          <w:szCs w:val="28"/>
        </w:rPr>
        <w:t>Слід зазначити, що наразі, при проведенні оцінки землі переважає використання одиночних показників, що характеризують окремі групи і види природних ресурсів, а не весь природно-ресурсний потенціал. Тому й кадастрова вартість земельних ділянок не враховує загальний стан і економічну оцінку ґрунтового покриву. Указаний аспект призводить до виникнення певних неточностей щодо реальної природно-ресурсної цінності земельних ресурсів[</w:t>
      </w:r>
      <w:r w:rsidR="006B1FE2" w:rsidRPr="006B1FE2">
        <w:rPr>
          <w:rFonts w:ascii="Times New Roman" w:hAnsi="Times New Roman" w:cs="Times New Roman"/>
          <w:sz w:val="28"/>
          <w:szCs w:val="28"/>
        </w:rPr>
        <w:t>3</w:t>
      </w:r>
      <w:r w:rsidR="0003295E">
        <w:rPr>
          <w:rFonts w:ascii="Times New Roman" w:hAnsi="Times New Roman" w:cs="Times New Roman"/>
          <w:sz w:val="28"/>
          <w:szCs w:val="28"/>
        </w:rPr>
        <w:t>, </w:t>
      </w:r>
      <w:r w:rsidR="006B1FE2" w:rsidRPr="006B1FE2">
        <w:rPr>
          <w:rFonts w:ascii="Times New Roman" w:hAnsi="Times New Roman" w:cs="Times New Roman"/>
          <w:sz w:val="28"/>
          <w:szCs w:val="28"/>
        </w:rPr>
        <w:t>с. 63</w:t>
      </w:r>
      <w:r w:rsidRPr="006B1FE2">
        <w:rPr>
          <w:rFonts w:ascii="Times New Roman" w:hAnsi="Times New Roman" w:cs="Times New Roman"/>
          <w:sz w:val="28"/>
          <w:szCs w:val="28"/>
        </w:rPr>
        <w:t>].</w:t>
      </w:r>
    </w:p>
    <w:p w:rsidR="000F68D9" w:rsidRPr="006B1FE2" w:rsidRDefault="000F68D9" w:rsidP="006B1FE2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6B1FE2">
        <w:rPr>
          <w:rFonts w:ascii="Times New Roman" w:hAnsi="Times New Roman" w:cs="Times New Roman"/>
          <w:sz w:val="28"/>
          <w:szCs w:val="28"/>
        </w:rPr>
        <w:t xml:space="preserve">Кадастрова інформація про продуктивність земель, ефективність їх використання та доходність з одиниці площі визначається в умовних кадастрових гектарах або грошовому вираженні. Значення економічної оцінки полягає в тому, що проведення такої оцінки поширюється на всі категорії земель. При цьому проведення економічної оцінки не змінює правового режиму </w:t>
      </w:r>
      <w:r w:rsidRPr="006B1FE2">
        <w:rPr>
          <w:rFonts w:ascii="Times New Roman" w:hAnsi="Times New Roman" w:cs="Times New Roman"/>
          <w:sz w:val="28"/>
          <w:szCs w:val="28"/>
        </w:rPr>
        <w:lastRenderedPageBreak/>
        <w:t>земельних ділянок, не тягне за собою виникнення, зміну чи припинення земельних правовідносин. Дані економічної оцінки земель є основою грошової оцінки, земельних ділянок різного цільового призначення, а також основною інформацією в порівняльному аналізі цінності природних ресурсів, класифікації придатності земель тощо.</w:t>
      </w:r>
    </w:p>
    <w:p w:rsidR="000F68D9" w:rsidRPr="006B1FE2" w:rsidRDefault="000F68D9" w:rsidP="006B1FE2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6B1FE2">
        <w:rPr>
          <w:rFonts w:ascii="Times New Roman" w:hAnsi="Times New Roman" w:cs="Times New Roman"/>
          <w:sz w:val="28"/>
          <w:szCs w:val="28"/>
        </w:rPr>
        <w:t>Ефективним способом контролю за якістю оцінки землі у процесі розроблених проектів відведення нових меж чи зміни цільового призначення земельної ділянки є порівняння їх з досягнутим рівнем у попередньому періоді, а також з даними передових оцінок, які можуть бути для нього взірцем. Неодмінною умовою такого порівняння є приблизно однакові природні та економічні умови оцінюваних об’єктів. Причому орієнтиром є ті об’єкти, де показники перевищують середній рівень родючості.</w:t>
      </w:r>
    </w:p>
    <w:p w:rsidR="000F68D9" w:rsidRPr="006B1FE2" w:rsidRDefault="000F68D9" w:rsidP="006B1FE2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6B1FE2">
        <w:rPr>
          <w:rFonts w:ascii="Times New Roman" w:hAnsi="Times New Roman" w:cs="Times New Roman"/>
          <w:sz w:val="28"/>
          <w:szCs w:val="28"/>
        </w:rPr>
        <w:t xml:space="preserve">Таким чином, якісною вважається оцінка землі, яка, насамперед, узгоджується з цілями і завданнями розвитку земельних відносин і того землевпорядного відділу, що її проводив, а також, відповідає вимогам ефективності, оптимальної збалансованості та надійності, а також напруженості при використанні ресурсів. Щодо узагальнюючої характеристики якості здійснюваної оцінки земель, то слід зазначити, що головною її характеристикою є ефективність, а напруженість і надійність її доповнюють. Напруженість алгоритму оцінки земель можна підвищити, удосконалюючи способи оцінки земель, а також способи економічного, матеріального і морального стимулювання. </w:t>
      </w:r>
    </w:p>
    <w:p w:rsidR="000F68D9" w:rsidRPr="006B1FE2" w:rsidRDefault="000F68D9" w:rsidP="006B1FE2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6B1FE2">
        <w:rPr>
          <w:rFonts w:ascii="Times New Roman" w:hAnsi="Times New Roman" w:cs="Times New Roman"/>
          <w:sz w:val="28"/>
          <w:szCs w:val="28"/>
        </w:rPr>
        <w:t xml:space="preserve">Отже, колгоспне землевпорядкування командно-адміністративного типу організації управління ресурсами відійшло різко в минуле, без наслідування якісної матеріальної бази, так і системи управління тими територіями, що здобули країни бувшого СРСР. Все це змушує теперішню систему управління земельними ресурсами будь-якого рівня, шукати нові орієнтири оптимального використання території, які б уже виправдали своє впровадження на практиці. </w:t>
      </w:r>
    </w:p>
    <w:p w:rsidR="006B1FE2" w:rsidRPr="006B1FE2" w:rsidRDefault="006B1FE2" w:rsidP="006B1FE2">
      <w:pPr>
        <w:spacing w:after="0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Список використаних джерел:</w:t>
      </w:r>
    </w:p>
    <w:p w:rsidR="006B1FE2" w:rsidRPr="006B1FE2" w:rsidRDefault="006B1FE2" w:rsidP="0003295E">
      <w:pPr>
        <w:pStyle w:val="a3"/>
        <w:numPr>
          <w:ilvl w:val="0"/>
          <w:numId w:val="3"/>
        </w:numPr>
        <w:tabs>
          <w:tab w:val="left" w:pos="993"/>
        </w:tabs>
        <w:spacing w:after="0"/>
        <w:ind w:left="0" w:firstLine="567"/>
        <w:jc w:val="both"/>
        <w:rPr>
          <w:rFonts w:ascii="Times New Roman" w:hAnsi="Times New Roman"/>
          <w:sz w:val="28"/>
          <w:szCs w:val="28"/>
          <w:lang w:eastAsia="ru-RU"/>
        </w:rPr>
      </w:pPr>
      <w:proofErr w:type="spellStart"/>
      <w:r w:rsidRPr="006B1FE2">
        <w:rPr>
          <w:rFonts w:ascii="Times New Roman" w:hAnsi="Times New Roman"/>
          <w:sz w:val="28"/>
          <w:szCs w:val="28"/>
        </w:rPr>
        <w:t>Альбещенко</w:t>
      </w:r>
      <w:proofErr w:type="spellEnd"/>
      <w:r w:rsidRPr="006B1FE2">
        <w:rPr>
          <w:rFonts w:ascii="Times New Roman" w:hAnsi="Times New Roman"/>
          <w:sz w:val="28"/>
          <w:szCs w:val="28"/>
        </w:rPr>
        <w:t xml:space="preserve"> О.С. Оптимізація структури земельних угідь сучасних </w:t>
      </w:r>
      <w:proofErr w:type="spellStart"/>
      <w:r w:rsidRPr="006B1FE2">
        <w:rPr>
          <w:rFonts w:ascii="Times New Roman" w:hAnsi="Times New Roman"/>
          <w:sz w:val="28"/>
          <w:szCs w:val="28"/>
        </w:rPr>
        <w:t>агроландшафтів</w:t>
      </w:r>
      <w:proofErr w:type="spellEnd"/>
      <w:r w:rsidRPr="006B1FE2">
        <w:rPr>
          <w:rFonts w:ascii="Times New Roman" w:hAnsi="Times New Roman"/>
          <w:sz w:val="28"/>
          <w:szCs w:val="28"/>
        </w:rPr>
        <w:t xml:space="preserve"> та формування екологічної мережі у сільськогосподарських підприємствах. </w:t>
      </w:r>
      <w:r w:rsidRPr="006B1FE2">
        <w:rPr>
          <w:rFonts w:ascii="Times New Roman" w:hAnsi="Times New Roman"/>
          <w:i/>
          <w:sz w:val="28"/>
          <w:szCs w:val="28"/>
        </w:rPr>
        <w:t xml:space="preserve">Науковий вісник ЛНУВМБТ ім. С.З. </w:t>
      </w:r>
      <w:proofErr w:type="spellStart"/>
      <w:r w:rsidRPr="006B1FE2">
        <w:rPr>
          <w:rFonts w:ascii="Times New Roman" w:hAnsi="Times New Roman"/>
          <w:i/>
          <w:sz w:val="28"/>
          <w:szCs w:val="28"/>
        </w:rPr>
        <w:t>Гжицького</w:t>
      </w:r>
      <w:proofErr w:type="spellEnd"/>
      <w:r w:rsidRPr="006B1FE2">
        <w:rPr>
          <w:rFonts w:ascii="Times New Roman" w:hAnsi="Times New Roman"/>
          <w:sz w:val="28"/>
          <w:szCs w:val="28"/>
        </w:rPr>
        <w:t>, 2012. № 4(54). С. 15-20.</w:t>
      </w:r>
    </w:p>
    <w:p w:rsidR="006B1FE2" w:rsidRPr="000F68D9" w:rsidRDefault="006B1FE2" w:rsidP="006B1FE2">
      <w:pPr>
        <w:pStyle w:val="a3"/>
        <w:numPr>
          <w:ilvl w:val="0"/>
          <w:numId w:val="3"/>
        </w:numPr>
        <w:tabs>
          <w:tab w:val="left" w:pos="851"/>
        </w:tabs>
        <w:spacing w:after="0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E2AC6">
        <w:rPr>
          <w:rFonts w:ascii="Times New Roman" w:hAnsi="Times New Roman" w:cs="Times New Roman"/>
          <w:sz w:val="28"/>
          <w:szCs w:val="28"/>
        </w:rPr>
        <w:t xml:space="preserve">Закон України «Про охорону земель» </w:t>
      </w:r>
      <w:r w:rsidRPr="003E2AC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URL</w:t>
      </w:r>
      <w:r>
        <w:rPr>
          <w:rFonts w:ascii="Times New Roman" w:hAnsi="Times New Roman" w:cs="Times New Roman"/>
          <w:sz w:val="28"/>
          <w:szCs w:val="28"/>
        </w:rPr>
        <w:t>:</w:t>
      </w:r>
      <w:r w:rsidRPr="006B1FE2">
        <w:rPr>
          <w:rFonts w:ascii="Times New Roman" w:hAnsi="Times New Roman" w:cs="Times New Roman"/>
          <w:sz w:val="28"/>
          <w:szCs w:val="28"/>
          <w:lang w:val="ru-RU"/>
        </w:rPr>
        <w:t>//</w:t>
      </w:r>
      <w:hyperlink r:id="rId5" w:history="1">
        <w:r w:rsidRPr="003A66C6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http</w:t>
        </w:r>
        <w:r w:rsidRPr="003A66C6">
          <w:rPr>
            <w:rStyle w:val="a4"/>
            <w:rFonts w:ascii="Times New Roman" w:hAnsi="Times New Roman" w:cs="Times New Roman"/>
            <w:sz w:val="28"/>
            <w:szCs w:val="28"/>
          </w:rPr>
          <w:t>://</w:t>
        </w:r>
        <w:proofErr w:type="spellStart"/>
        <w:r w:rsidRPr="003A66C6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zakon</w:t>
        </w:r>
        <w:proofErr w:type="spellEnd"/>
        <w:r w:rsidRPr="003A66C6">
          <w:rPr>
            <w:rStyle w:val="a4"/>
            <w:rFonts w:ascii="Times New Roman" w:hAnsi="Times New Roman" w:cs="Times New Roman"/>
            <w:sz w:val="28"/>
            <w:szCs w:val="28"/>
          </w:rPr>
          <w:t>4.</w:t>
        </w:r>
        <w:proofErr w:type="spellStart"/>
        <w:r w:rsidRPr="003A66C6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rada</w:t>
        </w:r>
        <w:proofErr w:type="spellEnd"/>
        <w:r w:rsidRPr="003A66C6">
          <w:rPr>
            <w:rStyle w:val="a4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Pr="003A66C6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gov</w:t>
        </w:r>
        <w:proofErr w:type="spellEnd"/>
        <w:r w:rsidRPr="003A66C6">
          <w:rPr>
            <w:rStyle w:val="a4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Pr="003A66C6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ua</w:t>
        </w:r>
        <w:proofErr w:type="spellEnd"/>
        <w:r w:rsidRPr="003A66C6">
          <w:rPr>
            <w:rStyle w:val="a4"/>
            <w:rFonts w:ascii="Times New Roman" w:hAnsi="Times New Roman" w:cs="Times New Roman"/>
            <w:sz w:val="28"/>
            <w:szCs w:val="28"/>
          </w:rPr>
          <w:t>/</w:t>
        </w:r>
        <w:r w:rsidRPr="003A66C6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laws</w:t>
        </w:r>
        <w:r w:rsidRPr="003A66C6">
          <w:rPr>
            <w:rStyle w:val="a4"/>
            <w:rFonts w:ascii="Times New Roman" w:hAnsi="Times New Roman" w:cs="Times New Roman"/>
            <w:sz w:val="28"/>
            <w:szCs w:val="28"/>
          </w:rPr>
          <w:t>/</w:t>
        </w:r>
        <w:r w:rsidRPr="003A66C6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show</w:t>
        </w:r>
        <w:r w:rsidRPr="003A66C6">
          <w:rPr>
            <w:rStyle w:val="a4"/>
            <w:rFonts w:ascii="Times New Roman" w:hAnsi="Times New Roman" w:cs="Times New Roman"/>
            <w:sz w:val="28"/>
            <w:szCs w:val="28"/>
          </w:rPr>
          <w:t>/962-15</w:t>
        </w:r>
      </w:hyperlink>
    </w:p>
    <w:p w:rsidR="006B1FE2" w:rsidRPr="006B1FE2" w:rsidRDefault="006B1FE2" w:rsidP="006B1FE2">
      <w:pPr>
        <w:pStyle w:val="a3"/>
        <w:numPr>
          <w:ilvl w:val="0"/>
          <w:numId w:val="3"/>
        </w:numPr>
        <w:spacing w:after="0"/>
        <w:ind w:left="0" w:firstLine="567"/>
        <w:jc w:val="both"/>
        <w:rPr>
          <w:lang w:val="ru-RU"/>
        </w:rPr>
      </w:pPr>
      <w:r w:rsidRPr="006B1FE2">
        <w:rPr>
          <w:rFonts w:ascii="Times New Roman" w:hAnsi="Times New Roman" w:cs="Times New Roman"/>
          <w:sz w:val="28"/>
          <w:szCs w:val="28"/>
        </w:rPr>
        <w:t>Удовенко І.О., Шемякін М.В., Кононенко С.І. Оцінка та прогнозування використання земельно-ресурсного потенціалу території: теоретико-методологічний аспект</w:t>
      </w:r>
      <w:r w:rsidRPr="006B1FE2">
        <w:rPr>
          <w:rFonts w:ascii="Times New Roman" w:hAnsi="Times New Roman" w:cs="Times New Roman"/>
          <w:i/>
          <w:sz w:val="28"/>
          <w:szCs w:val="28"/>
        </w:rPr>
        <w:t xml:space="preserve">. </w:t>
      </w:r>
      <w:proofErr w:type="spellStart"/>
      <w:r w:rsidRPr="006B1FE2">
        <w:rPr>
          <w:rFonts w:ascii="Times New Roman" w:hAnsi="Times New Roman" w:cs="Times New Roman"/>
          <w:i/>
          <w:sz w:val="28"/>
          <w:szCs w:val="28"/>
        </w:rPr>
        <w:t>Агросвіт</w:t>
      </w:r>
      <w:proofErr w:type="spellEnd"/>
      <w:r w:rsidRPr="006B1FE2">
        <w:rPr>
          <w:rFonts w:ascii="Times New Roman" w:hAnsi="Times New Roman" w:cs="Times New Roman"/>
          <w:sz w:val="28"/>
          <w:szCs w:val="28"/>
        </w:rPr>
        <w:t xml:space="preserve"> № 21, 2020. Київ, 2020. С. 61-70.</w:t>
      </w:r>
    </w:p>
    <w:sectPr w:rsidR="006B1FE2" w:rsidRPr="006B1FE2" w:rsidSect="006B1FE2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0D2268"/>
    <w:multiLevelType w:val="hybridMultilevel"/>
    <w:tmpl w:val="3904C656"/>
    <w:lvl w:ilvl="0" w:tplc="52785ED4">
      <w:start w:val="1"/>
      <w:numFmt w:val="decimal"/>
      <w:lvlText w:val="%1."/>
      <w:lvlJc w:val="left"/>
      <w:pPr>
        <w:ind w:left="1287" w:hanging="360"/>
      </w:pPr>
      <w:rPr>
        <w:rFonts w:ascii="Times New Roman" w:hAnsi="Times New Roman" w:cs="Times New Roman"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" w15:restartNumberingAfterBreak="0">
    <w:nsid w:val="42C40DA4"/>
    <w:multiLevelType w:val="hybridMultilevel"/>
    <w:tmpl w:val="034496AE"/>
    <w:lvl w:ilvl="0" w:tplc="0422000F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 w15:restartNumberingAfterBreak="0">
    <w:nsid w:val="61067037"/>
    <w:multiLevelType w:val="hybridMultilevel"/>
    <w:tmpl w:val="F7B6C6C8"/>
    <w:lvl w:ilvl="0" w:tplc="7EE20B62">
      <w:start w:val="1"/>
      <w:numFmt w:val="decimal"/>
      <w:lvlText w:val="%1."/>
      <w:lvlJc w:val="left"/>
      <w:pPr>
        <w:tabs>
          <w:tab w:val="num" w:pos="1212"/>
        </w:tabs>
        <w:ind w:left="1212" w:hanging="360"/>
      </w:pPr>
      <w:rPr>
        <w:rFonts w:cs="Times New Roman"/>
        <w:b w:val="0"/>
        <w:bCs w:val="0"/>
        <w:i w:val="0"/>
        <w:iCs w:val="0"/>
        <w:color w:val="auto"/>
        <w:sz w:val="28"/>
        <w:szCs w:val="28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F68D9"/>
    <w:rsid w:val="0003295E"/>
    <w:rsid w:val="000F68D9"/>
    <w:rsid w:val="00333E64"/>
    <w:rsid w:val="00503BA6"/>
    <w:rsid w:val="006B1FE2"/>
    <w:rsid w:val="00824294"/>
    <w:rsid w:val="00A9233E"/>
    <w:rsid w:val="00C361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0A29E8"/>
  <w15:chartTrackingRefBased/>
  <w15:docId w15:val="{86A7025E-865E-4BEF-AB8A-AA9CBEA98E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F68D9"/>
    <w:pPr>
      <w:spacing w:after="200" w:line="276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F68D9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0F68D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zakon4.rada.gov.ua/laws/show/962-15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1044</Words>
  <Characters>5956</Characters>
  <Application>Microsoft Office Word</Application>
  <DocSecurity>0</DocSecurity>
  <Lines>49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3</cp:revision>
  <dcterms:created xsi:type="dcterms:W3CDTF">2022-07-13T06:37:00Z</dcterms:created>
  <dcterms:modified xsi:type="dcterms:W3CDTF">2022-07-13T07:43:00Z</dcterms:modified>
</cp:coreProperties>
</file>