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Стандартний"/>
        <w:bidi w:val="0"/>
        <w:spacing w:before="0" w:after="240" w:line="240" w:lineRule="auto"/>
        <w:ind w:left="0" w:right="0" w:firstLine="0"/>
        <w:jc w:val="center"/>
        <w:rPr>
          <w:rFonts w:ascii="Times Roman" w:cs="Times Roman" w:hAnsi="Times Roman" w:eastAsia="Times Roman"/>
          <w:b w:val="0"/>
          <w:bCs w:val="0"/>
          <w:sz w:val="28"/>
          <w:szCs w:val="28"/>
          <w:rtl w:val="0"/>
        </w:rPr>
      </w:pP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ОЦІНКА НА РАННЬОСТИГЛІСТЬ ІНБРЕДНИХ ЛІНІЙ КУКУРУДЗИ В МЕЖАХ КОЛЕКЦІЙНОГО ГЕНОФОНДУ УКРАЇНИ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b w:val="0"/>
          <w:bCs w:val="0"/>
          <w:sz w:val="28"/>
          <w:szCs w:val="28"/>
          <w:rtl w:val="0"/>
        </w:rPr>
      </w:pP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С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П</w:t>
      </w:r>
      <w:r>
        <w:rPr>
          <w:rFonts w:ascii="Times Roman" w:hAnsi="Times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Коцюба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i w:val="0"/>
          <w:iCs w:val="0"/>
          <w:sz w:val="28"/>
          <w:szCs w:val="28"/>
          <w:rtl w:val="0"/>
        </w:rPr>
      </w:pPr>
      <w:r>
        <w:rPr>
          <w:rFonts w:ascii="Times Roman" w:hAnsi="Times Roman" w:hint="default"/>
          <w:i w:val="1"/>
          <w:iCs w:val="1"/>
          <w:sz w:val="28"/>
          <w:szCs w:val="28"/>
          <w:rtl w:val="0"/>
        </w:rPr>
        <w:t>Уманський національний університет садівництва</w:t>
      </w:r>
      <w:r>
        <w:rPr>
          <w:rFonts w:ascii="Times Roman" w:hAnsi="Times Roman"/>
          <w:i w:val="1"/>
          <w:iCs w:val="1"/>
          <w:sz w:val="28"/>
          <w:szCs w:val="28"/>
          <w:rtl w:val="0"/>
        </w:rPr>
        <w:t xml:space="preserve">, </w:t>
      </w:r>
      <w:r>
        <w:rPr>
          <w:rFonts w:ascii="Times Roman" w:hAnsi="Times Roman" w:hint="default"/>
          <w:i w:val="1"/>
          <w:iCs w:val="1"/>
          <w:sz w:val="28"/>
          <w:szCs w:val="28"/>
          <w:rtl w:val="0"/>
        </w:rPr>
        <w:t xml:space="preserve">Україна </w:t>
      </w:r>
      <w:r>
        <w:rPr>
          <w:rFonts w:ascii="Times Roman" w:hAnsi="Times Roman"/>
          <w:i w:val="1"/>
          <w:iCs w:val="1"/>
          <w:sz w:val="28"/>
          <w:szCs w:val="28"/>
          <w:rtl w:val="0"/>
        </w:rPr>
        <w:t xml:space="preserve">e-mail: bbkots@icloud.com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Селекція скоростиглої кукурудзи починалася з інтродукції і народної селекції скоростиглих гібридів і популяцій в кожній конкретній ґрунтово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кліматичній зоні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внаслідок чого отримано багато сортозразків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важливо для сучасної селекції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Внаслідок вивчення і перезапилення завезених сортів створені нові гібриди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які найбільш пристосовані до регіональних умов обробітку 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[1].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Створюючи ранньостиглі гетерозисні гібриди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насамперед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ми маємо підібрати вихідний матеріал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 саме інбредні лінії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які б відповідали всім вимогам за господарсько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цінними ознаками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такими як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період вегетації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продуктивність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кількість листків на основному стеблі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висота рослин та висота прикріплення нижнього господарсько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цінного качана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стійкість проти хвороб та шкідників та стійкість проти ламкості і вилягання стебла 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[2].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Щоб розподілити наш матеріал кукурудзи за скоростиглістю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було проведено низку досліджень а саме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оцінку тривалості вегетаційного періоду „сходи – повна стиглість”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визначали в днях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кількість листків на основному стеблі — в штуках та досить важливий показник на сьогоднійшній день це вологість зерна при збиранні у відсотковому співвідношенні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це дало змогу розподілити інцухт лінії на дві групи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ранньостиглі — </w:t>
      </w:r>
      <w:r>
        <w:rPr>
          <w:rFonts w:ascii="Times New Roman" w:hAnsi="Times New Roman"/>
          <w:sz w:val="28"/>
          <w:szCs w:val="28"/>
          <w:rtl w:val="0"/>
        </w:rPr>
        <w:t>(106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114)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та середньоранні — </w:t>
      </w:r>
      <w:r>
        <w:rPr>
          <w:rFonts w:ascii="Times New Roman" w:hAnsi="Times New Roman"/>
          <w:sz w:val="28"/>
          <w:szCs w:val="28"/>
          <w:rtl w:val="0"/>
        </w:rPr>
        <w:t>114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123 </w:t>
      </w:r>
      <w:r>
        <w:rPr>
          <w:rFonts w:ascii="Times New Roman" w:hAnsi="Times New Roman" w:hint="default"/>
          <w:sz w:val="28"/>
          <w:szCs w:val="28"/>
          <w:rtl w:val="0"/>
        </w:rPr>
        <w:t>діб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8"/>
          <w:szCs w:val="28"/>
          <w:rtl w:val="0"/>
        </w:rPr>
        <w:t>інбредних ліній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були включені в дослід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нами було виділено чотири ранньостиглі генотипи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що складало </w:t>
      </w:r>
      <w:r>
        <w:rPr>
          <w:rFonts w:ascii="Times New Roman" w:hAnsi="Times New Roman"/>
          <w:sz w:val="28"/>
          <w:szCs w:val="28"/>
          <w:rtl w:val="0"/>
        </w:rPr>
        <w:t xml:space="preserve">75%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від загальної кількості ліній та </w:t>
      </w:r>
      <w:r>
        <w:rPr>
          <w:rFonts w:ascii="Times New Roman" w:hAnsi="Times New Roman"/>
          <w:sz w:val="28"/>
          <w:szCs w:val="28"/>
          <w:rtl w:val="0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або </w:t>
      </w:r>
      <w:r>
        <w:rPr>
          <w:rFonts w:ascii="Times New Roman" w:hAnsi="Times New Roman"/>
          <w:sz w:val="28"/>
          <w:szCs w:val="28"/>
          <w:rtl w:val="0"/>
        </w:rPr>
        <w:t xml:space="preserve">25% </w:t>
      </w:r>
      <w:r>
        <w:rPr>
          <w:rFonts w:ascii="Times New Roman" w:hAnsi="Times New Roman" w:hint="default"/>
          <w:sz w:val="28"/>
          <w:szCs w:val="28"/>
          <w:rtl w:val="0"/>
        </w:rPr>
        <w:t>середньоранні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126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У </w:t>
      </w:r>
      <w:r>
        <w:rPr>
          <w:rFonts w:ascii="Times New Roman" w:hAnsi="Times New Roman"/>
          <w:sz w:val="28"/>
          <w:szCs w:val="28"/>
          <w:rtl w:val="0"/>
        </w:rPr>
        <w:t xml:space="preserve">2020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році період вегетації у ранньостиглої групи ліній знаходився у межах </w:t>
      </w:r>
      <w:r>
        <w:rPr>
          <w:rFonts w:ascii="Times New Roman" w:hAnsi="Times New Roman"/>
          <w:sz w:val="28"/>
          <w:szCs w:val="28"/>
          <w:rtl w:val="0"/>
        </w:rPr>
        <w:t xml:space="preserve">104,0 </w:t>
      </w:r>
      <w:r>
        <w:rPr>
          <w:rFonts w:ascii="Times New Roman" w:hAnsi="Times New Roman" w:hint="default"/>
          <w:sz w:val="28"/>
          <w:szCs w:val="28"/>
          <w:rtl w:val="0"/>
        </w:rPr>
        <w:t>днів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що менше майже на п’ять днів за </w:t>
      </w:r>
      <w:r>
        <w:rPr>
          <w:rFonts w:ascii="Times New Roman" w:hAnsi="Times New Roman"/>
          <w:sz w:val="28"/>
          <w:szCs w:val="28"/>
          <w:rtl w:val="0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</w:rPr>
        <w:t>рік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Ця тенденція спостерігалась і для групи середньоранньоранніх ліній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При цьому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більш тривалий період вегетаційний був у </w:t>
      </w:r>
      <w:r>
        <w:rPr>
          <w:rFonts w:ascii="Times New Roman" w:hAnsi="Times New Roman"/>
          <w:sz w:val="28"/>
          <w:szCs w:val="28"/>
          <w:rtl w:val="0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</w:rPr>
        <w:t>році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За період вегетації у </w:t>
      </w:r>
      <w:r>
        <w:rPr>
          <w:rFonts w:ascii="Times New Roman" w:hAnsi="Times New Roman"/>
          <w:sz w:val="28"/>
          <w:szCs w:val="28"/>
          <w:rtl w:val="0"/>
        </w:rPr>
        <w:t xml:space="preserve">2020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році випало на </w:t>
      </w:r>
      <w:r>
        <w:rPr>
          <w:rFonts w:ascii="Times New Roman" w:hAnsi="Times New Roman"/>
          <w:sz w:val="28"/>
          <w:szCs w:val="28"/>
          <w:rtl w:val="0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</w:rPr>
        <w:t>мм опадів менше порівняно з середньо багаторічними даними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однак забезпечення температурою було значном вище норми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а в період дозрівання зерна цей показник становив на </w:t>
      </w:r>
      <w:r>
        <w:rPr>
          <w:rFonts w:ascii="Times New Roman" w:hAnsi="Times New Roman"/>
          <w:sz w:val="28"/>
          <w:szCs w:val="28"/>
          <w:rtl w:val="0"/>
        </w:rPr>
        <w:t>3</w:t>
      </w:r>
      <w:r>
        <w:rPr>
          <w:rFonts w:ascii="Times New Roman" w:hAnsi="Times New Roman" w:hint="default"/>
          <w:position w:val="13"/>
          <w:sz w:val="28"/>
          <w:szCs w:val="28"/>
          <w:rtl w:val="0"/>
        </w:rPr>
        <w:t>о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вищим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в свою чергу прискорило висихання зерна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На сьогоднішній день вологовіддача зерна стала одним з важливих факторів економічної ефективності вирощування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Так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за даними науковців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сушка зерна кукурудзи до базисної норми </w:t>
      </w:r>
      <w:r>
        <w:rPr>
          <w:rFonts w:ascii="Times New Roman" w:hAnsi="Times New Roman"/>
          <w:sz w:val="28"/>
          <w:szCs w:val="28"/>
          <w:rtl w:val="0"/>
        </w:rPr>
        <w:t xml:space="preserve">(14%)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при </w:t>
      </w:r>
      <w:r>
        <w:rPr>
          <w:rFonts w:ascii="Times New Roman" w:hAnsi="Times New Roman"/>
          <w:sz w:val="28"/>
          <w:szCs w:val="28"/>
          <w:rtl w:val="0"/>
        </w:rPr>
        <w:t xml:space="preserve">30% </w:t>
      </w:r>
      <w:r>
        <w:rPr>
          <w:rFonts w:ascii="Times New Roman" w:hAnsi="Times New Roman" w:hint="default"/>
          <w:sz w:val="28"/>
          <w:szCs w:val="28"/>
          <w:rtl w:val="0"/>
        </w:rPr>
        <w:t>збиральній вологості потребує більше затрат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ніж увесь комплекс робіт по вирощуванню 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[3].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Зниження вологості зерна поділяють на два етапи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які різним чином пов’язані з фізіологічними процесами достигання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Перший етап триває до завершення наливу зерна і характеризується зниженням вмісту вологи в зерні до </w:t>
      </w:r>
      <w:r>
        <w:rPr>
          <w:rFonts w:ascii="Times New Roman" w:hAnsi="Times New Roman"/>
          <w:sz w:val="28"/>
          <w:szCs w:val="28"/>
          <w:rtl w:val="0"/>
        </w:rPr>
        <w:t>32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35%. </w:t>
      </w:r>
      <w:r>
        <w:rPr>
          <w:rFonts w:ascii="Times New Roman" w:hAnsi="Times New Roman" w:hint="default"/>
          <w:sz w:val="28"/>
          <w:szCs w:val="28"/>
          <w:rtl w:val="0"/>
        </w:rPr>
        <w:t>Другий етап переважно пов’язаний із фізичними процесами висихання зерна як капілярно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пористої гетерогенної структури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Вважають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що перебіг вологовіддачі зерном після досягнення фізіологічної стиглості не має чітко визначених генетичних факторів і на нього опосередковано впливає цілий ряд морфологічних ознак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кількість та щільність обгорток качана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діаметр стрижня качана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орієнтація качана у просторі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та біохімічний склад зерна 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[4, 5].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Тому метою нашого дослідження було проаналізувати темпи вологовіддачі зерном кукурудзи досліджуваних ліній різних груп стиглості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Проведені дослідження дали змогу простежити динаміку вологовіддачі зерна гібридів кукурудзи різних груп стиглості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визначити мінливість вологості зерна гібридів в різні періоди дозрівання зерна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Для всіх ліній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незалежно від групи стиглості та року випробування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фізіологічна стиглість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визначена за наявністю чорного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абсцизного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шару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була відмічена на </w:t>
      </w:r>
      <w:r>
        <w:rPr>
          <w:rFonts w:ascii="Times New Roman" w:hAnsi="Times New Roman"/>
          <w:sz w:val="28"/>
          <w:szCs w:val="28"/>
          <w:rtl w:val="0"/>
        </w:rPr>
        <w:t>45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50 </w:t>
      </w:r>
      <w:r>
        <w:rPr>
          <w:rFonts w:ascii="Times New Roman" w:hAnsi="Times New Roman" w:hint="default"/>
          <w:sz w:val="28"/>
          <w:szCs w:val="28"/>
          <w:rtl w:val="0"/>
        </w:rPr>
        <w:t>день після запилення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Майже всі лінії на цей час мали вологість зерна </w:t>
      </w:r>
      <w:r>
        <w:rPr>
          <w:rFonts w:ascii="Times New Roman" w:hAnsi="Times New Roman"/>
          <w:sz w:val="28"/>
          <w:szCs w:val="28"/>
          <w:rtl w:val="0"/>
        </w:rPr>
        <w:t>30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34%,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що добре узгоджується з літературними даними </w:t>
      </w:r>
      <w:r>
        <w:rPr>
          <w:rFonts w:ascii="Times New Roman" w:hAnsi="Times New Roman"/>
          <w:sz w:val="28"/>
          <w:szCs w:val="28"/>
          <w:rtl w:val="0"/>
          <w:lang w:val="pt-PT"/>
        </w:rPr>
        <w:t xml:space="preserve">[6, 7].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Більш сприятливими для вирощування кукурудзи був </w:t>
      </w:r>
      <w:r>
        <w:rPr>
          <w:rFonts w:ascii="Times New Roman" w:hAnsi="Times New Roman"/>
          <w:sz w:val="28"/>
          <w:szCs w:val="28"/>
          <w:rtl w:val="0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</w:rPr>
        <w:t>рік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рослини сформували велику вегетативну масу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однак зерно на період збирання мало високу вологість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Це пояснюється значною кількістю опадів </w:t>
      </w:r>
      <w:r>
        <w:rPr>
          <w:rFonts w:ascii="Times New Roman" w:hAnsi="Times New Roman"/>
          <w:sz w:val="28"/>
          <w:szCs w:val="28"/>
          <w:rtl w:val="0"/>
        </w:rPr>
        <w:t xml:space="preserve">(46,0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мм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у вересні місяці </w:t>
      </w:r>
      <w:r>
        <w:rPr>
          <w:rFonts w:ascii="Times New Roman" w:hAnsi="Times New Roman"/>
          <w:sz w:val="28"/>
          <w:szCs w:val="28"/>
          <w:rtl w:val="0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року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Отже лінії </w:t>
      </w:r>
      <w:r>
        <w:rPr>
          <w:rFonts w:ascii="Times New Roman" w:hAnsi="Times New Roman"/>
          <w:sz w:val="28"/>
          <w:szCs w:val="28"/>
          <w:rtl w:val="0"/>
        </w:rPr>
        <w:t xml:space="preserve">F 7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та Чк </w:t>
      </w:r>
      <w:r>
        <w:rPr>
          <w:rFonts w:ascii="Times New Roman" w:hAnsi="Times New Roman"/>
          <w:sz w:val="28"/>
          <w:szCs w:val="28"/>
          <w:rtl w:val="0"/>
        </w:rPr>
        <w:t xml:space="preserve">73 </w:t>
      </w:r>
      <w:r>
        <w:rPr>
          <w:rFonts w:ascii="Times New Roman" w:hAnsi="Times New Roman" w:hint="default"/>
          <w:sz w:val="28"/>
          <w:szCs w:val="28"/>
          <w:rtl w:val="0"/>
        </w:rPr>
        <w:t>знижували збиральну вологість без негативного впливу на врожайність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Лінії які мали високу збиральну вологість характеризувались подовженим вегетаційним періодом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так як Ум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337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та ВІР </w:t>
      </w:r>
      <w:r>
        <w:rPr>
          <w:rFonts w:ascii="Times New Roman" w:hAnsi="Times New Roman"/>
          <w:sz w:val="28"/>
          <w:szCs w:val="28"/>
          <w:rtl w:val="0"/>
        </w:rPr>
        <w:t xml:space="preserve">44.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 xml:space="preserve">Це дає підстави при плануванні стратегії селекції на ранньостиглість надавати перевагу лініям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F7, </w:t>
      </w:r>
      <w:r>
        <w:rPr>
          <w:rFonts w:ascii="Times New Roman" w:hAnsi="Times New Roman" w:hint="default"/>
          <w:sz w:val="28"/>
          <w:szCs w:val="28"/>
          <w:rtl w:val="0"/>
        </w:rPr>
        <w:t>Ур</w:t>
      </w:r>
      <w:r>
        <w:rPr>
          <w:rFonts w:ascii="Times New Roman" w:hAnsi="Times New Roman"/>
          <w:sz w:val="28"/>
          <w:szCs w:val="28"/>
          <w:rtl w:val="0"/>
        </w:rPr>
        <w:t xml:space="preserve">273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та </w:t>
      </w:r>
      <w:r>
        <w:rPr>
          <w:rFonts w:ascii="Times New Roman" w:hAnsi="Times New Roman"/>
          <w:sz w:val="28"/>
          <w:szCs w:val="28"/>
          <w:rtl w:val="0"/>
        </w:rPr>
        <w:t xml:space="preserve">F115, </w:t>
      </w:r>
      <w:r>
        <w:rPr>
          <w:rFonts w:ascii="Times New Roman" w:hAnsi="Times New Roman" w:hint="default"/>
          <w:sz w:val="28"/>
          <w:szCs w:val="28"/>
          <w:rtl w:val="0"/>
        </w:rPr>
        <w:t>які поєднують показники ранньостиглості з найменшою вологістю зерна при збиранні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bidi w:val="0"/>
        <w:spacing w:before="0" w:after="240" w:line="240" w:lineRule="auto"/>
        <w:ind w:left="0" w:right="0" w:firstLine="0"/>
        <w:jc w:val="both"/>
        <w:rPr>
          <w:rFonts w:ascii="Times Roman" w:cs="Times Roman" w:hAnsi="Times Roman" w:eastAsia="Times Roman"/>
          <w:b w:val="0"/>
          <w:bCs w:val="0"/>
          <w:sz w:val="28"/>
          <w:szCs w:val="28"/>
          <w:rtl w:val="0"/>
        </w:rPr>
      </w:pP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 xml:space="preserve">Література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ПарійМ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Ф</w:t>
      </w:r>
      <w:r>
        <w:rPr>
          <w:rFonts w:ascii="Times Roman" w:hAnsi="Times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Способи отримання гібридного насіння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Тр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Междунар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конф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«Современные проблемы генетики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биотехнологии и селекции растений»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Харьков</w:t>
      </w:r>
      <w:r>
        <w:rPr>
          <w:rFonts w:ascii="Times New Roman" w:hAnsi="Times New Roman"/>
          <w:sz w:val="28"/>
          <w:szCs w:val="28"/>
          <w:rtl w:val="0"/>
        </w:rPr>
        <w:t xml:space="preserve">. 2001.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 232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233.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ЦиковВ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Кукуруза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</w:rPr>
        <w:t>технология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гибриды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семена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Днепропетровск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</w:rPr>
        <w:t>Зоря</w:t>
      </w:r>
      <w:r>
        <w:rPr>
          <w:rFonts w:ascii="Times New Roman" w:hAnsi="Times New Roman"/>
          <w:sz w:val="28"/>
          <w:szCs w:val="28"/>
          <w:rtl w:val="0"/>
        </w:rPr>
        <w:t xml:space="preserve">. 2003. 296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textWrapping"/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ЧистяковС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Н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Изучениединамикивлагоотдачизерномулинийигибридов кукурузы при его созревании </w:t>
      </w:r>
      <w:r>
        <w:rPr>
          <w:rFonts w:ascii="Times New Roman" w:hAnsi="Times New Roman"/>
          <w:sz w:val="28"/>
          <w:szCs w:val="28"/>
          <w:rtl w:val="0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Чистяков 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Супрунов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Ласкин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Научный журнал КубГАУ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  <w:rtl w:val="0"/>
        </w:rPr>
        <w:t xml:space="preserve">2012.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  <w:rtl w:val="0"/>
        </w:rPr>
        <w:t xml:space="preserve">No 84 (10).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>— С</w:t>
      </w:r>
      <w:r>
        <w:rPr>
          <w:rFonts w:ascii="Times New Roman" w:hAnsi="Times New Roman"/>
          <w:sz w:val="28"/>
          <w:szCs w:val="28"/>
          <w:rtl w:val="0"/>
        </w:rPr>
        <w:t>. 1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12.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Цицюра Я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Г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Вихідний матеріал для селекції гібридів кукурудзи з інтенсивною віддачею вологи зерном </w:t>
      </w:r>
      <w:r>
        <w:rPr>
          <w:rFonts w:ascii="Times New Roman" w:hAnsi="Times New Roman"/>
          <w:sz w:val="28"/>
          <w:szCs w:val="28"/>
          <w:rtl w:val="0"/>
        </w:rPr>
        <w:t xml:space="preserve">// </w:t>
      </w:r>
      <w:r>
        <w:rPr>
          <w:rFonts w:ascii="Times New Roman" w:hAnsi="Times New Roman" w:hint="default"/>
          <w:sz w:val="28"/>
          <w:szCs w:val="28"/>
          <w:rtl w:val="0"/>
        </w:rPr>
        <w:t>дис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Канд</w:t>
      </w:r>
      <w:r>
        <w:rPr>
          <w:rFonts w:ascii="Times New Roman" w:hAnsi="Times New Roman"/>
          <w:sz w:val="28"/>
          <w:szCs w:val="28"/>
          <w:rtl w:val="0"/>
        </w:rPr>
        <w:t xml:space="preserve">..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.-</w:t>
      </w:r>
      <w:r>
        <w:rPr>
          <w:rFonts w:ascii="Times New Roman" w:hAnsi="Times New Roman" w:hint="default"/>
          <w:sz w:val="28"/>
          <w:szCs w:val="28"/>
          <w:rtl w:val="0"/>
        </w:rPr>
        <w:t>г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наук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— Київ</w:t>
      </w:r>
      <w:r>
        <w:rPr>
          <w:rFonts w:ascii="Times New Roman" w:hAnsi="Times New Roman"/>
          <w:sz w:val="28"/>
          <w:szCs w:val="28"/>
          <w:rtl w:val="0"/>
        </w:rPr>
        <w:t xml:space="preserve">, 2001. </w:t>
      </w:r>
      <w:r>
        <w:rPr>
          <w:rFonts w:ascii="Times New Roman" w:hAnsi="Times New Roman" w:hint="default"/>
          <w:sz w:val="28"/>
          <w:szCs w:val="28"/>
          <w:rtl w:val="0"/>
          <w:lang w:val="en-US"/>
        </w:rPr>
        <w:t xml:space="preserve">— </w:t>
      </w:r>
      <w:r>
        <w:rPr>
          <w:rFonts w:ascii="Times New Roman" w:hAnsi="Times New Roman"/>
          <w:sz w:val="28"/>
          <w:szCs w:val="28"/>
          <w:rtl w:val="0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Гур’єва 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А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</w:rPr>
        <w:t>Рябчун 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Козубенко Л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Класифікатор–довідник виду </w:t>
      </w:r>
      <w:r>
        <w:rPr>
          <w:rFonts w:ascii="Times Roman" w:hAnsi="Times Roman"/>
          <w:i w:val="1"/>
          <w:iCs w:val="1"/>
          <w:sz w:val="28"/>
          <w:szCs w:val="28"/>
          <w:rtl w:val="0"/>
          <w:lang w:val="en-US"/>
        </w:rPr>
        <w:t xml:space="preserve">Zea mays </w:t>
      </w:r>
      <w:r>
        <w:rPr>
          <w:rFonts w:ascii="Times New Roman" w:hAnsi="Times New Roman"/>
          <w:sz w:val="28"/>
          <w:szCs w:val="28"/>
          <w:rtl w:val="0"/>
        </w:rPr>
        <w:t xml:space="preserve">L. </w:t>
      </w:r>
      <w:r>
        <w:rPr>
          <w:rFonts w:ascii="Times New Roman" w:hAnsi="Times New Roman" w:hint="default"/>
          <w:sz w:val="28"/>
          <w:szCs w:val="28"/>
          <w:rtl w:val="0"/>
        </w:rPr>
        <w:t>Харків</w:t>
      </w:r>
      <w:r>
        <w:rPr>
          <w:rFonts w:ascii="Times New Roman" w:hAnsi="Times New Roman"/>
          <w:sz w:val="28"/>
          <w:szCs w:val="28"/>
          <w:rtl w:val="0"/>
        </w:rPr>
        <w:t>, 1994. 72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Климова О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Генетическая ценность самоопыленных линий сахарной кукурузы по продуктивности и ее элементам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Кукуруза и сорго</w:t>
      </w:r>
      <w:r>
        <w:rPr>
          <w:rFonts w:ascii="Times New Roman" w:hAnsi="Times New Roman"/>
          <w:sz w:val="28"/>
          <w:szCs w:val="28"/>
          <w:rtl w:val="0"/>
        </w:rPr>
        <w:t xml:space="preserve">. 2006. No 4.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>. 20</w:t>
      </w:r>
      <w:r>
        <w:rPr>
          <w:rFonts w:ascii="Times New Roman" w:hAnsi="Times New Roman" w:hint="default"/>
          <w:sz w:val="28"/>
          <w:szCs w:val="28"/>
          <w:rtl w:val="0"/>
        </w:rPr>
        <w:t>–</w:t>
      </w:r>
      <w:r>
        <w:rPr>
          <w:rFonts w:ascii="Times New Roman" w:hAnsi="Times New Roman"/>
          <w:sz w:val="28"/>
          <w:szCs w:val="28"/>
          <w:rtl w:val="0"/>
        </w:rPr>
        <w:t xml:space="preserve">24. </w:t>
      </w:r>
    </w:p>
    <w:p>
      <w:pPr>
        <w:pStyle w:val="Стандартний"/>
        <w:numPr>
          <w:ilvl w:val="0"/>
          <w:numId w:val="2"/>
        </w:numPr>
        <w:bidi w:val="0"/>
        <w:spacing w:before="0" w:after="373" w:line="24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Дзюбецкий Б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Черчель В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Ю</w:t>
      </w:r>
      <w:r>
        <w:rPr>
          <w:rFonts w:ascii="Times New Roman" w:hAnsi="Times New Roman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</w:rPr>
        <w:t>Антонюк 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П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Селекція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Генетика і селекція в Україні на межі тисячоліть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К</w:t>
      </w:r>
      <w:r>
        <w:rPr>
          <w:rFonts w:ascii="Times New Roman" w:hAnsi="Times New Roman"/>
          <w:sz w:val="28"/>
          <w:szCs w:val="28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Логос</w:t>
      </w:r>
      <w:r>
        <w:rPr>
          <w:rFonts w:ascii="Times New Roman" w:hAnsi="Times New Roman"/>
          <w:sz w:val="28"/>
          <w:szCs w:val="28"/>
          <w:rtl w:val="0"/>
        </w:rPr>
        <w:t xml:space="preserve">, 2001. </w:t>
      </w:r>
      <w:r>
        <w:rPr>
          <w:rFonts w:ascii="Times New Roman" w:hAnsi="Times New Roman" w:hint="default"/>
          <w:sz w:val="28"/>
          <w:szCs w:val="28"/>
          <w:rtl w:val="0"/>
        </w:rPr>
        <w:t>Т</w:t>
      </w:r>
      <w:r>
        <w:rPr>
          <w:rFonts w:ascii="Times New Roman" w:hAnsi="Times New Roman"/>
          <w:sz w:val="28"/>
          <w:szCs w:val="28"/>
          <w:rtl w:val="0"/>
        </w:rPr>
        <w:t xml:space="preserve">. 2 636 </w:t>
      </w:r>
      <w:r>
        <w:rPr>
          <w:rFonts w:ascii="Times New Roman" w:hAnsi="Times New Roman" w:hint="default"/>
          <w:sz w:val="28"/>
          <w:szCs w:val="28"/>
          <w:rtl w:val="0"/>
        </w:rPr>
        <w:t>с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textWrapping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Номери"/>
  </w:abstractNum>
  <w:abstractNum w:abstractNumId="1">
    <w:multiLevelType w:val="hybridMultilevel"/>
    <w:styleLink w:val="Номери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3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25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47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69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91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13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355" w:hanging="37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Номери">
    <w:name w:val="Номер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