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Стандартний"/>
        <w:bidi w:val="0"/>
        <w:spacing w:before="0" w:after="240" w:line="240" w:lineRule="auto"/>
        <w:ind w:left="0" w:right="0" w:firstLine="0"/>
        <w:jc w:val="center"/>
        <w:rPr>
          <w:rFonts w:ascii="Times Roman" w:cs="Times Roman" w:hAnsi="Times Roman" w:eastAsia="Times Roman"/>
          <w:b w:val="0"/>
          <w:bCs w:val="0"/>
          <w:sz w:val="28"/>
          <w:szCs w:val="28"/>
          <w:rtl w:val="0"/>
        </w:rPr>
      </w:pPr>
      <w:r>
        <w:rPr>
          <w:rFonts w:ascii="Times Roman" w:hAnsi="Times Roman" w:hint="default"/>
          <w:b w:val="1"/>
          <w:bCs w:val="1"/>
          <w:sz w:val="28"/>
          <w:szCs w:val="28"/>
          <w:rtl w:val="0"/>
        </w:rPr>
        <w:t xml:space="preserve">ОЦІНКА НА РАННЬОСТИГЛІСТЬ ІНБРЕДНИХ ЛІНІЙ КУКУРУДЗИ В МЕЖАХ КОЛЕКЦІЙНОГО ГЕНОФОНДУ УКРАЇНИ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b w:val="0"/>
          <w:bCs w:val="0"/>
          <w:sz w:val="28"/>
          <w:szCs w:val="28"/>
          <w:rtl w:val="0"/>
        </w:rPr>
      </w:pPr>
      <w:r>
        <w:rPr>
          <w:rFonts w:ascii="Times Roman" w:hAnsi="Times Roman" w:hint="default"/>
          <w:b w:val="1"/>
          <w:bCs w:val="1"/>
          <w:sz w:val="28"/>
          <w:szCs w:val="28"/>
          <w:rtl w:val="0"/>
        </w:rPr>
        <w:t>С</w:t>
      </w:r>
      <w:r>
        <w:rPr>
          <w:rFonts w:ascii="Times Roman" w:hAnsi="Times Roman"/>
          <w:b w:val="1"/>
          <w:bCs w:val="1"/>
          <w:sz w:val="28"/>
          <w:szCs w:val="28"/>
          <w:rtl w:val="0"/>
        </w:rPr>
        <w:t xml:space="preserve">. </w:t>
      </w:r>
      <w:r>
        <w:rPr>
          <w:rFonts w:ascii="Times Roman" w:hAnsi="Times Roman" w:hint="default"/>
          <w:b w:val="1"/>
          <w:bCs w:val="1"/>
          <w:sz w:val="28"/>
          <w:szCs w:val="28"/>
          <w:rtl w:val="0"/>
        </w:rPr>
        <w:t>П</w:t>
      </w:r>
      <w:r>
        <w:rPr>
          <w:rFonts w:ascii="Times Roman" w:hAnsi="Times Roman"/>
          <w:b w:val="1"/>
          <w:bCs w:val="1"/>
          <w:sz w:val="28"/>
          <w:szCs w:val="28"/>
          <w:rtl w:val="0"/>
        </w:rPr>
        <w:t xml:space="preserve">. </w:t>
      </w:r>
      <w:r>
        <w:rPr>
          <w:rFonts w:ascii="Times Roman" w:hAnsi="Times Roman" w:hint="default"/>
          <w:b w:val="1"/>
          <w:bCs w:val="1"/>
          <w:sz w:val="28"/>
          <w:szCs w:val="28"/>
          <w:rtl w:val="0"/>
        </w:rPr>
        <w:t xml:space="preserve">Коцюба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i w:val="0"/>
          <w:iCs w:val="0"/>
          <w:sz w:val="28"/>
          <w:szCs w:val="28"/>
          <w:rtl w:val="0"/>
        </w:rPr>
      </w:pPr>
      <w:r>
        <w:rPr>
          <w:rFonts w:ascii="Times Roman" w:hAnsi="Times Roman" w:hint="default"/>
          <w:i w:val="1"/>
          <w:iCs w:val="1"/>
          <w:sz w:val="28"/>
          <w:szCs w:val="28"/>
          <w:rtl w:val="0"/>
        </w:rPr>
        <w:t>Уманський національний університет садівництва</w:t>
      </w:r>
      <w:r>
        <w:rPr>
          <w:rFonts w:ascii="Times Roman" w:hAnsi="Times Roman"/>
          <w:i w:val="1"/>
          <w:iCs w:val="1"/>
          <w:sz w:val="28"/>
          <w:szCs w:val="28"/>
          <w:rtl w:val="0"/>
        </w:rPr>
        <w:t xml:space="preserve">, </w:t>
      </w:r>
      <w:r>
        <w:rPr>
          <w:rFonts w:ascii="Times Roman" w:hAnsi="Times Roman" w:hint="default"/>
          <w:i w:val="1"/>
          <w:iCs w:val="1"/>
          <w:sz w:val="28"/>
          <w:szCs w:val="28"/>
          <w:rtl w:val="0"/>
        </w:rPr>
        <w:t xml:space="preserve">Україна </w:t>
      </w:r>
      <w:r>
        <w:rPr>
          <w:rFonts w:ascii="Times Roman" w:hAnsi="Times Roman"/>
          <w:i w:val="1"/>
          <w:iCs w:val="1"/>
          <w:sz w:val="28"/>
          <w:szCs w:val="28"/>
          <w:rtl w:val="0"/>
        </w:rPr>
        <w:t xml:space="preserve">e-mail: bbkots@icloud.com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Селекція скоростиглої кукурудзи починалася з інтродукції і народної селекції скоростиглих гібридів і популяцій в кожній конкретній ґрунтово</w:t>
      </w:r>
      <w:r>
        <w:rPr>
          <w:rFonts w:ascii="Times New Roman" w:hAnsi="Times New Roman"/>
          <w:sz w:val="28"/>
          <w:szCs w:val="28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rtl w:val="0"/>
        </w:rPr>
        <w:t>кліматичній зоні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внаслідок чого отримано багато сортозразків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що важливо для сучасної селекції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Внаслідок вивчення і перезапилення завезених сортів створені нові гібриди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які найбільш пристосовані до регіональних умов обробітку </w:t>
      </w:r>
      <w:r>
        <w:rPr>
          <w:rFonts w:ascii="Times New Roman" w:hAnsi="Times New Roman"/>
          <w:sz w:val="28"/>
          <w:szCs w:val="28"/>
          <w:rtl w:val="0"/>
          <w:lang w:val="pt-PT"/>
        </w:rPr>
        <w:t xml:space="preserve">[1].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Створюючи ранньостиглі гетерозисні гібриди кукурудзи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насамперед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ми маємо підібрати вихідний матеріал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а саме інбредні лінії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які б відповідали всім вимогам за господарсько</w:t>
      </w:r>
      <w:r>
        <w:rPr>
          <w:rFonts w:ascii="Times New Roman" w:hAnsi="Times New Roman"/>
          <w:sz w:val="28"/>
          <w:szCs w:val="28"/>
          <w:rtl w:val="0"/>
        </w:rPr>
        <w:t>-</w:t>
      </w:r>
      <w:r>
        <w:rPr>
          <w:rFonts w:ascii="Times New Roman" w:hAnsi="Times New Roman" w:hint="default"/>
          <w:sz w:val="28"/>
          <w:szCs w:val="28"/>
          <w:rtl w:val="0"/>
        </w:rPr>
        <w:t>цінними ознаками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такими як</w:t>
      </w:r>
      <w:r>
        <w:rPr>
          <w:rFonts w:ascii="Times New Roman" w:hAnsi="Times New Roman"/>
          <w:sz w:val="28"/>
          <w:szCs w:val="28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rtl w:val="0"/>
        </w:rPr>
        <w:t>період вегетації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продуктивність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кількість листків на основному стеблі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висота рослин та висота прикріплення нижнього господарсько</w:t>
      </w:r>
      <w:r>
        <w:rPr>
          <w:rFonts w:ascii="Times New Roman" w:hAnsi="Times New Roman"/>
          <w:sz w:val="28"/>
          <w:szCs w:val="28"/>
          <w:rtl w:val="0"/>
        </w:rPr>
        <w:t>-</w:t>
      </w:r>
      <w:r>
        <w:rPr>
          <w:rFonts w:ascii="Times New Roman" w:hAnsi="Times New Roman" w:hint="default"/>
          <w:sz w:val="28"/>
          <w:szCs w:val="28"/>
          <w:rtl w:val="0"/>
        </w:rPr>
        <w:t>цінного качана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стійкість проти хвороб та шкідників та стійкість проти ламкості і вилягання стебла </w:t>
      </w:r>
      <w:r>
        <w:rPr>
          <w:rFonts w:ascii="Times New Roman" w:hAnsi="Times New Roman"/>
          <w:sz w:val="28"/>
          <w:szCs w:val="28"/>
          <w:rtl w:val="0"/>
          <w:lang w:val="pt-PT"/>
        </w:rPr>
        <w:t xml:space="preserve">[2].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Щоб розподілити наш матеріал кукурудзи за скоростиглістю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було проведено низку досліджень а саме</w:t>
      </w:r>
      <w:r>
        <w:rPr>
          <w:rFonts w:ascii="Times New Roman" w:hAnsi="Times New Roman"/>
          <w:sz w:val="28"/>
          <w:szCs w:val="28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rtl w:val="0"/>
        </w:rPr>
        <w:t>оцінку тривалості вегетаційного періоду „сходи – повна стиглість”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що визначали в днях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кількість листків на основному стеблі — в штуках та досить важливий показник на сьогоднійшній день це вологість зерна при збиранні у відсотковому співвідношенні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це дало змогу розподілити інцухт лінії на дві групи</w:t>
      </w:r>
      <w:r>
        <w:rPr>
          <w:rFonts w:ascii="Times New Roman" w:hAnsi="Times New Roman"/>
          <w:sz w:val="28"/>
          <w:szCs w:val="28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ранньостиглі — </w:t>
      </w:r>
      <w:r>
        <w:rPr>
          <w:rFonts w:ascii="Times New Roman" w:hAnsi="Times New Roman"/>
          <w:sz w:val="28"/>
          <w:szCs w:val="28"/>
          <w:rtl w:val="0"/>
        </w:rPr>
        <w:t>(106</w:t>
      </w:r>
      <w:r>
        <w:rPr>
          <w:rFonts w:ascii="Times New Roman" w:hAnsi="Times New Roman" w:hint="default"/>
          <w:sz w:val="28"/>
          <w:szCs w:val="28"/>
          <w:rtl w:val="0"/>
        </w:rPr>
        <w:t>–</w:t>
      </w:r>
      <w:r>
        <w:rPr>
          <w:rFonts w:ascii="Times New Roman" w:hAnsi="Times New Roman"/>
          <w:sz w:val="28"/>
          <w:szCs w:val="28"/>
          <w:rtl w:val="0"/>
        </w:rPr>
        <w:t xml:space="preserve">114)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та середньоранні — </w:t>
      </w:r>
      <w:r>
        <w:rPr>
          <w:rFonts w:ascii="Times New Roman" w:hAnsi="Times New Roman"/>
          <w:sz w:val="28"/>
          <w:szCs w:val="28"/>
          <w:rtl w:val="0"/>
        </w:rPr>
        <w:t>114</w:t>
      </w:r>
      <w:r>
        <w:rPr>
          <w:rFonts w:ascii="Times New Roman" w:hAnsi="Times New Roman" w:hint="default"/>
          <w:sz w:val="28"/>
          <w:szCs w:val="28"/>
          <w:rtl w:val="0"/>
        </w:rPr>
        <w:t>–</w:t>
      </w:r>
      <w:r>
        <w:rPr>
          <w:rFonts w:ascii="Times New Roman" w:hAnsi="Times New Roman"/>
          <w:sz w:val="28"/>
          <w:szCs w:val="28"/>
          <w:rtl w:val="0"/>
        </w:rPr>
        <w:t xml:space="preserve">123 </w:t>
      </w:r>
      <w:r>
        <w:rPr>
          <w:rFonts w:ascii="Times New Roman" w:hAnsi="Times New Roman" w:hint="default"/>
          <w:sz w:val="28"/>
          <w:szCs w:val="28"/>
          <w:rtl w:val="0"/>
        </w:rPr>
        <w:t>діб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 xml:space="preserve">З </w:t>
      </w:r>
      <w:r>
        <w:rPr>
          <w:rFonts w:ascii="Times New Roman" w:hAnsi="Times New Roman"/>
          <w:sz w:val="28"/>
          <w:szCs w:val="28"/>
          <w:rtl w:val="0"/>
          <w:lang w:val="ru-RU"/>
        </w:rPr>
        <w:t xml:space="preserve">7 </w:t>
      </w:r>
      <w:r>
        <w:rPr>
          <w:rFonts w:ascii="Times New Roman" w:hAnsi="Times New Roman" w:hint="default"/>
          <w:sz w:val="28"/>
          <w:szCs w:val="28"/>
          <w:rtl w:val="0"/>
        </w:rPr>
        <w:t>інбредних ліній кукурудзи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що були включені в дослід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нами було виділено чотири ранньостиглі генотипи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що складало </w:t>
      </w:r>
      <w:r>
        <w:rPr>
          <w:rFonts w:ascii="Times New Roman" w:hAnsi="Times New Roman"/>
          <w:sz w:val="28"/>
          <w:szCs w:val="28"/>
          <w:rtl w:val="0"/>
        </w:rPr>
        <w:t xml:space="preserve">75%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від загальної кількості ліній та </w:t>
      </w:r>
      <w:r>
        <w:rPr>
          <w:rFonts w:ascii="Times New Roman" w:hAnsi="Times New Roman"/>
          <w:sz w:val="28"/>
          <w:szCs w:val="28"/>
          <w:rtl w:val="0"/>
        </w:rPr>
        <w:t xml:space="preserve">3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або </w:t>
      </w:r>
      <w:r>
        <w:rPr>
          <w:rFonts w:ascii="Times New Roman" w:hAnsi="Times New Roman"/>
          <w:sz w:val="28"/>
          <w:szCs w:val="28"/>
          <w:rtl w:val="0"/>
        </w:rPr>
        <w:t xml:space="preserve">25% </w:t>
      </w:r>
      <w:r>
        <w:rPr>
          <w:rFonts w:ascii="Times New Roman" w:hAnsi="Times New Roman" w:hint="default"/>
          <w:sz w:val="28"/>
          <w:szCs w:val="28"/>
          <w:rtl w:val="0"/>
        </w:rPr>
        <w:t>середньоранні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/>
          <w:sz w:val="28"/>
          <w:szCs w:val="28"/>
          <w:rtl w:val="0"/>
        </w:rPr>
        <w:t xml:space="preserve">126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 xml:space="preserve">У </w:t>
      </w:r>
      <w:r>
        <w:rPr>
          <w:rFonts w:ascii="Times New Roman" w:hAnsi="Times New Roman"/>
          <w:sz w:val="28"/>
          <w:szCs w:val="28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році період вегетації у ранньостиглої групи ліній знаходився у межах </w:t>
      </w:r>
      <w:r>
        <w:rPr>
          <w:rFonts w:ascii="Times New Roman" w:hAnsi="Times New Roman"/>
          <w:sz w:val="28"/>
          <w:szCs w:val="28"/>
          <w:rtl w:val="0"/>
        </w:rPr>
        <w:t xml:space="preserve">104,0 </w:t>
      </w:r>
      <w:r>
        <w:rPr>
          <w:rFonts w:ascii="Times New Roman" w:hAnsi="Times New Roman" w:hint="default"/>
          <w:sz w:val="28"/>
          <w:szCs w:val="28"/>
          <w:rtl w:val="0"/>
        </w:rPr>
        <w:t>днів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що менше майже на п’ять днів за </w:t>
      </w:r>
      <w:r>
        <w:rPr>
          <w:rFonts w:ascii="Times New Roman" w:hAnsi="Times New Roman"/>
          <w:sz w:val="28"/>
          <w:szCs w:val="28"/>
          <w:rtl w:val="0"/>
        </w:rPr>
        <w:t xml:space="preserve">2019 </w:t>
      </w:r>
      <w:r>
        <w:rPr>
          <w:rFonts w:ascii="Times New Roman" w:hAnsi="Times New Roman" w:hint="default"/>
          <w:sz w:val="28"/>
          <w:szCs w:val="28"/>
          <w:rtl w:val="0"/>
        </w:rPr>
        <w:t>рік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Ця тенденція спостерігалась і для групи середньоранньоранніх ліній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При цьому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більш тривалий період вегетаційний був у </w:t>
      </w:r>
      <w:r>
        <w:rPr>
          <w:rFonts w:ascii="Times New Roman" w:hAnsi="Times New Roman"/>
          <w:sz w:val="28"/>
          <w:szCs w:val="28"/>
          <w:rtl w:val="0"/>
        </w:rPr>
        <w:t xml:space="preserve">2019 </w:t>
      </w:r>
      <w:r>
        <w:rPr>
          <w:rFonts w:ascii="Times New Roman" w:hAnsi="Times New Roman" w:hint="default"/>
          <w:sz w:val="28"/>
          <w:szCs w:val="28"/>
          <w:rtl w:val="0"/>
        </w:rPr>
        <w:t>році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 xml:space="preserve">За період вегетації у </w:t>
      </w:r>
      <w:r>
        <w:rPr>
          <w:rFonts w:ascii="Times New Roman" w:hAnsi="Times New Roman"/>
          <w:sz w:val="28"/>
          <w:szCs w:val="28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році випало на </w:t>
      </w:r>
      <w:r>
        <w:rPr>
          <w:rFonts w:ascii="Times New Roman" w:hAnsi="Times New Roman"/>
          <w:sz w:val="28"/>
          <w:szCs w:val="28"/>
          <w:rtl w:val="0"/>
        </w:rPr>
        <w:t xml:space="preserve">100 </w:t>
      </w:r>
      <w:r>
        <w:rPr>
          <w:rFonts w:ascii="Times New Roman" w:hAnsi="Times New Roman" w:hint="default"/>
          <w:sz w:val="28"/>
          <w:szCs w:val="28"/>
          <w:rtl w:val="0"/>
        </w:rPr>
        <w:t>мм опадів менше порівняно з середньо багаторічними даними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однак забезпечення температурою було значном вище норми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а в період дозрівання зерна цей показник становив на </w:t>
      </w:r>
      <w:r>
        <w:rPr>
          <w:rFonts w:ascii="Times New Roman" w:hAnsi="Times New Roman"/>
          <w:sz w:val="28"/>
          <w:szCs w:val="28"/>
          <w:rtl w:val="0"/>
        </w:rPr>
        <w:t>3</w:t>
      </w:r>
      <w:r>
        <w:rPr>
          <w:rFonts w:ascii="Times New Roman" w:hAnsi="Times New Roman" w:hint="default"/>
          <w:position w:val="13"/>
          <w:sz w:val="28"/>
          <w:szCs w:val="28"/>
          <w:rtl w:val="0"/>
        </w:rPr>
        <w:t>о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С вищим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що в свою чергу прискорило висихання зерна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На сьогоднішній день вологовіддача зерна стала одним з важливих факторів економічної ефективності вирощування кукурудзи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Так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за даними науковців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сушка зерна кукурудзи до базисної норми </w:t>
      </w:r>
      <w:r>
        <w:rPr>
          <w:rFonts w:ascii="Times New Roman" w:hAnsi="Times New Roman"/>
          <w:sz w:val="28"/>
          <w:szCs w:val="28"/>
          <w:rtl w:val="0"/>
        </w:rPr>
        <w:t xml:space="preserve">(14%)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при </w:t>
      </w:r>
      <w:r>
        <w:rPr>
          <w:rFonts w:ascii="Times New Roman" w:hAnsi="Times New Roman"/>
          <w:sz w:val="28"/>
          <w:szCs w:val="28"/>
          <w:rtl w:val="0"/>
        </w:rPr>
        <w:t xml:space="preserve">30% </w:t>
      </w:r>
      <w:r>
        <w:rPr>
          <w:rFonts w:ascii="Times New Roman" w:hAnsi="Times New Roman" w:hint="default"/>
          <w:sz w:val="28"/>
          <w:szCs w:val="28"/>
          <w:rtl w:val="0"/>
        </w:rPr>
        <w:t>збиральній вологості потребує більше затрат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ніж увесь комплекс робіт по вирощуванню </w:t>
      </w:r>
      <w:r>
        <w:rPr>
          <w:rFonts w:ascii="Times New Roman" w:hAnsi="Times New Roman"/>
          <w:sz w:val="28"/>
          <w:szCs w:val="28"/>
          <w:rtl w:val="0"/>
          <w:lang w:val="pt-PT"/>
        </w:rPr>
        <w:t xml:space="preserve">[3].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Зниження вологості зерна поділяють на два етапи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які різним чином пов’язані з фізіологічними процесами достигання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Перший етап триває до завершення наливу зерна і характеризується зниженням вмісту вологи в зерні до </w:t>
      </w:r>
      <w:r>
        <w:rPr>
          <w:rFonts w:ascii="Times New Roman" w:hAnsi="Times New Roman"/>
          <w:sz w:val="28"/>
          <w:szCs w:val="28"/>
          <w:rtl w:val="0"/>
        </w:rPr>
        <w:t>32</w:t>
      </w:r>
      <w:r>
        <w:rPr>
          <w:rFonts w:ascii="Times New Roman" w:hAnsi="Times New Roman" w:hint="default"/>
          <w:sz w:val="28"/>
          <w:szCs w:val="28"/>
          <w:rtl w:val="0"/>
        </w:rPr>
        <w:t>–</w:t>
      </w:r>
      <w:r>
        <w:rPr>
          <w:rFonts w:ascii="Times New Roman" w:hAnsi="Times New Roman"/>
          <w:sz w:val="28"/>
          <w:szCs w:val="28"/>
          <w:rtl w:val="0"/>
        </w:rPr>
        <w:t xml:space="preserve">35%. </w:t>
      </w:r>
      <w:r>
        <w:rPr>
          <w:rFonts w:ascii="Times New Roman" w:hAnsi="Times New Roman" w:hint="default"/>
          <w:sz w:val="28"/>
          <w:szCs w:val="28"/>
          <w:rtl w:val="0"/>
        </w:rPr>
        <w:t>Другий етап переважно пов’язаний із фізичними процесами висихання зерна як капілярно</w:t>
      </w:r>
      <w:r>
        <w:rPr>
          <w:rFonts w:ascii="Times New Roman" w:hAnsi="Times New Roman"/>
          <w:sz w:val="28"/>
          <w:szCs w:val="28"/>
          <w:rtl w:val="0"/>
        </w:rPr>
        <w:t>-</w:t>
      </w:r>
      <w:r>
        <w:rPr>
          <w:rFonts w:ascii="Times New Roman" w:hAnsi="Times New Roman" w:hint="default"/>
          <w:sz w:val="28"/>
          <w:szCs w:val="28"/>
          <w:rtl w:val="0"/>
        </w:rPr>
        <w:t>пористої гетерогенної структури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Вважають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що перебіг вологовіддачі зерном після досягнення фізіологічної стиглості не має чітко визначених генетичних факторів і на нього опосередковано впливає цілий ряд морфологічних ознак </w:t>
      </w:r>
      <w:r>
        <w:rPr>
          <w:rFonts w:ascii="Times New Roman" w:hAnsi="Times New Roman"/>
          <w:sz w:val="28"/>
          <w:szCs w:val="28"/>
          <w:rtl w:val="0"/>
        </w:rPr>
        <w:t>(</w:t>
      </w:r>
      <w:r>
        <w:rPr>
          <w:rFonts w:ascii="Times New Roman" w:hAnsi="Times New Roman" w:hint="default"/>
          <w:sz w:val="28"/>
          <w:szCs w:val="28"/>
          <w:rtl w:val="0"/>
        </w:rPr>
        <w:t>кількість та щільність обгорток качана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діаметр стрижня качана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орієнтація качана у просторі</w:t>
      </w:r>
      <w:r>
        <w:rPr>
          <w:rFonts w:ascii="Times New Roman" w:hAnsi="Times New Roman"/>
          <w:sz w:val="28"/>
          <w:szCs w:val="28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та біохімічний склад зерна </w:t>
      </w:r>
      <w:r>
        <w:rPr>
          <w:rFonts w:ascii="Times New Roman" w:hAnsi="Times New Roman"/>
          <w:sz w:val="28"/>
          <w:szCs w:val="28"/>
          <w:rtl w:val="0"/>
          <w:lang w:val="pt-PT"/>
        </w:rPr>
        <w:t xml:space="preserve">[4, 5].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Тому метою нашого дослідження було проаналізувати темпи вологовіддачі зерном кукурудзи досліджуваних ліній різних груп стиглості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Проведені дослідження дали змогу простежити динаміку вологовіддачі зерна гібридів кукурудзи різних груп стиглості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визначити мінливість вологості зерна гібридів в різні періоди дозрівання зерна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Для всіх ліній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незалежно від групи стиглості та року випробування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фізіологічна стиглість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визначена за наявністю чорного </w:t>
      </w:r>
      <w:r>
        <w:rPr>
          <w:rFonts w:ascii="Times New Roman" w:hAnsi="Times New Roman"/>
          <w:sz w:val="28"/>
          <w:szCs w:val="28"/>
          <w:rtl w:val="0"/>
        </w:rPr>
        <w:t>(</w:t>
      </w:r>
      <w:r>
        <w:rPr>
          <w:rFonts w:ascii="Times New Roman" w:hAnsi="Times New Roman" w:hint="default"/>
          <w:sz w:val="28"/>
          <w:szCs w:val="28"/>
          <w:rtl w:val="0"/>
        </w:rPr>
        <w:t>абсцизного</w:t>
      </w:r>
      <w:r>
        <w:rPr>
          <w:rFonts w:ascii="Times New Roman" w:hAnsi="Times New Roman"/>
          <w:sz w:val="28"/>
          <w:szCs w:val="28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rtl w:val="0"/>
        </w:rPr>
        <w:t>шару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була відмічена на </w:t>
      </w:r>
      <w:r>
        <w:rPr>
          <w:rFonts w:ascii="Times New Roman" w:hAnsi="Times New Roman"/>
          <w:sz w:val="28"/>
          <w:szCs w:val="28"/>
          <w:rtl w:val="0"/>
        </w:rPr>
        <w:t>45</w:t>
      </w:r>
      <w:r>
        <w:rPr>
          <w:rFonts w:ascii="Times New Roman" w:hAnsi="Times New Roman" w:hint="default"/>
          <w:sz w:val="28"/>
          <w:szCs w:val="28"/>
          <w:rtl w:val="0"/>
        </w:rPr>
        <w:t>–</w:t>
      </w:r>
      <w:r>
        <w:rPr>
          <w:rFonts w:ascii="Times New Roman" w:hAnsi="Times New Roman"/>
          <w:sz w:val="28"/>
          <w:szCs w:val="28"/>
          <w:rtl w:val="0"/>
        </w:rPr>
        <w:t xml:space="preserve">50 </w:t>
      </w:r>
      <w:r>
        <w:rPr>
          <w:rFonts w:ascii="Times New Roman" w:hAnsi="Times New Roman" w:hint="default"/>
          <w:sz w:val="28"/>
          <w:szCs w:val="28"/>
          <w:rtl w:val="0"/>
        </w:rPr>
        <w:t>день після запилення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Майже всі лінії на цей час мали вологість зерна </w:t>
      </w:r>
      <w:r>
        <w:rPr>
          <w:rFonts w:ascii="Times New Roman" w:hAnsi="Times New Roman"/>
          <w:sz w:val="28"/>
          <w:szCs w:val="28"/>
          <w:rtl w:val="0"/>
        </w:rPr>
        <w:t>30</w:t>
      </w:r>
      <w:r>
        <w:rPr>
          <w:rFonts w:ascii="Times New Roman" w:hAnsi="Times New Roman" w:hint="default"/>
          <w:sz w:val="28"/>
          <w:szCs w:val="28"/>
          <w:rtl w:val="0"/>
        </w:rPr>
        <w:t>–</w:t>
      </w:r>
      <w:r>
        <w:rPr>
          <w:rFonts w:ascii="Times New Roman" w:hAnsi="Times New Roman"/>
          <w:sz w:val="28"/>
          <w:szCs w:val="28"/>
          <w:rtl w:val="0"/>
        </w:rPr>
        <w:t xml:space="preserve">34%,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що добре узгоджується з літературними даними </w:t>
      </w:r>
      <w:r>
        <w:rPr>
          <w:rFonts w:ascii="Times New Roman" w:hAnsi="Times New Roman"/>
          <w:sz w:val="28"/>
          <w:szCs w:val="28"/>
          <w:rtl w:val="0"/>
          <w:lang w:val="pt-PT"/>
        </w:rPr>
        <w:t xml:space="preserve">[6, 7].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 xml:space="preserve">Більш сприятливими для вирощування кукурудзи був </w:t>
      </w:r>
      <w:r>
        <w:rPr>
          <w:rFonts w:ascii="Times New Roman" w:hAnsi="Times New Roman"/>
          <w:sz w:val="28"/>
          <w:szCs w:val="28"/>
          <w:rtl w:val="0"/>
        </w:rPr>
        <w:t xml:space="preserve">2019 </w:t>
      </w:r>
      <w:r>
        <w:rPr>
          <w:rFonts w:ascii="Times New Roman" w:hAnsi="Times New Roman" w:hint="default"/>
          <w:sz w:val="28"/>
          <w:szCs w:val="28"/>
          <w:rtl w:val="0"/>
        </w:rPr>
        <w:t>рік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рослини сформували велику вегетативну масу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однак зерно на період збирання мало високу вологість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Це пояснюється значною кількістю опадів </w:t>
      </w:r>
      <w:r>
        <w:rPr>
          <w:rFonts w:ascii="Times New Roman" w:hAnsi="Times New Roman"/>
          <w:sz w:val="28"/>
          <w:szCs w:val="28"/>
          <w:rtl w:val="0"/>
        </w:rPr>
        <w:t xml:space="preserve">(46,0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мм</w:t>
      </w:r>
      <w:r>
        <w:rPr>
          <w:rFonts w:ascii="Times New Roman" w:hAnsi="Times New Roman"/>
          <w:sz w:val="28"/>
          <w:szCs w:val="28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у вересні місяці </w:t>
      </w:r>
      <w:r>
        <w:rPr>
          <w:rFonts w:ascii="Times New Roman" w:hAnsi="Times New Roman"/>
          <w:sz w:val="28"/>
          <w:szCs w:val="28"/>
          <w:rtl w:val="0"/>
        </w:rPr>
        <w:t xml:space="preserve">2019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року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 xml:space="preserve">Отже лінії </w:t>
      </w:r>
      <w:r>
        <w:rPr>
          <w:rFonts w:ascii="Times New Roman" w:hAnsi="Times New Roman"/>
          <w:sz w:val="28"/>
          <w:szCs w:val="28"/>
          <w:rtl w:val="0"/>
        </w:rPr>
        <w:t xml:space="preserve">F 7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та Чк </w:t>
      </w:r>
      <w:r>
        <w:rPr>
          <w:rFonts w:ascii="Times New Roman" w:hAnsi="Times New Roman"/>
          <w:sz w:val="28"/>
          <w:szCs w:val="28"/>
          <w:rtl w:val="0"/>
        </w:rPr>
        <w:t xml:space="preserve">73 </w:t>
      </w:r>
      <w:r>
        <w:rPr>
          <w:rFonts w:ascii="Times New Roman" w:hAnsi="Times New Roman" w:hint="default"/>
          <w:sz w:val="28"/>
          <w:szCs w:val="28"/>
          <w:rtl w:val="0"/>
        </w:rPr>
        <w:t>знижували збиральну вологість без негативного впливу на врожайність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Лінії які мали високу збиральну вологість характеризувались подовженим вегетаційним періодом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так як Ум</w:t>
      </w:r>
      <w:r>
        <w:rPr>
          <w:rFonts w:ascii="Times New Roman" w:hAnsi="Times New Roman"/>
          <w:sz w:val="28"/>
          <w:szCs w:val="28"/>
          <w:rtl w:val="0"/>
          <w:lang w:val="ru-RU"/>
        </w:rPr>
        <w:t xml:space="preserve">337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та ВІР </w:t>
      </w:r>
      <w:r>
        <w:rPr>
          <w:rFonts w:ascii="Times New Roman" w:hAnsi="Times New Roman"/>
          <w:sz w:val="28"/>
          <w:szCs w:val="28"/>
          <w:rtl w:val="0"/>
        </w:rPr>
        <w:t xml:space="preserve">44.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 xml:space="preserve">Це дає підстави при плануванні стратегії селекції на ранньостиглість надавати перевагу лініям </w:t>
      </w:r>
      <w:r>
        <w:rPr>
          <w:rFonts w:ascii="Times New Roman" w:hAnsi="Times New Roman"/>
          <w:sz w:val="28"/>
          <w:szCs w:val="28"/>
          <w:rtl w:val="0"/>
          <w:lang w:val="ru-RU"/>
        </w:rPr>
        <w:t xml:space="preserve">F7, </w:t>
      </w:r>
      <w:r>
        <w:rPr>
          <w:rFonts w:ascii="Times New Roman" w:hAnsi="Times New Roman" w:hint="default"/>
          <w:sz w:val="28"/>
          <w:szCs w:val="28"/>
          <w:rtl w:val="0"/>
        </w:rPr>
        <w:t>Ур</w:t>
      </w:r>
      <w:r>
        <w:rPr>
          <w:rFonts w:ascii="Times New Roman" w:hAnsi="Times New Roman"/>
          <w:sz w:val="28"/>
          <w:szCs w:val="28"/>
          <w:rtl w:val="0"/>
        </w:rPr>
        <w:t xml:space="preserve">273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та </w:t>
      </w:r>
      <w:r>
        <w:rPr>
          <w:rFonts w:ascii="Times New Roman" w:hAnsi="Times New Roman"/>
          <w:sz w:val="28"/>
          <w:szCs w:val="28"/>
          <w:rtl w:val="0"/>
        </w:rPr>
        <w:t xml:space="preserve">F115, </w:t>
      </w:r>
      <w:r>
        <w:rPr>
          <w:rFonts w:ascii="Times New Roman" w:hAnsi="Times New Roman" w:hint="default"/>
          <w:sz w:val="28"/>
          <w:szCs w:val="28"/>
          <w:rtl w:val="0"/>
        </w:rPr>
        <w:t>які поєднують показники ранньостиглості з найменшою вологістю зерна при збиранні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Стандартний"/>
        <w:bidi w:val="0"/>
        <w:spacing w:before="0" w:after="240" w:line="240" w:lineRule="auto"/>
        <w:ind w:left="0" w:right="0" w:firstLine="0"/>
        <w:jc w:val="both"/>
        <w:rPr>
          <w:rFonts w:ascii="Times Roman" w:cs="Times Roman" w:hAnsi="Times Roman" w:eastAsia="Times Roman"/>
          <w:b w:val="0"/>
          <w:bCs w:val="0"/>
          <w:sz w:val="28"/>
          <w:szCs w:val="28"/>
          <w:rtl w:val="0"/>
        </w:rPr>
      </w:pPr>
      <w:r>
        <w:rPr>
          <w:rFonts w:ascii="Times Roman" w:hAnsi="Times Roman" w:hint="default"/>
          <w:b w:val="1"/>
          <w:bCs w:val="1"/>
          <w:sz w:val="28"/>
          <w:szCs w:val="28"/>
          <w:rtl w:val="0"/>
        </w:rPr>
        <w:t xml:space="preserve">Література </w:t>
      </w:r>
    </w:p>
    <w:p>
      <w:pPr>
        <w:pStyle w:val="Стандартний"/>
        <w:numPr>
          <w:ilvl w:val="0"/>
          <w:numId w:val="2"/>
        </w:numPr>
        <w:bidi w:val="0"/>
        <w:spacing w:before="0" w:after="373" w:line="24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ПарійМ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Ф</w:t>
      </w:r>
      <w:r>
        <w:rPr>
          <w:rFonts w:ascii="Times Roman" w:hAnsi="Times Roman"/>
          <w:i w:val="1"/>
          <w:iCs w:val="1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Способи отримання гібридного насіння кукурудзи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Тр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Междунар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конф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«Современные проблемы генетики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биотехнологии и селекции растений»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Харьков</w:t>
      </w:r>
      <w:r>
        <w:rPr>
          <w:rFonts w:ascii="Times New Roman" w:hAnsi="Times New Roman"/>
          <w:sz w:val="28"/>
          <w:szCs w:val="28"/>
          <w:rtl w:val="0"/>
        </w:rPr>
        <w:t xml:space="preserve">. 2001. </w:t>
      </w:r>
      <w:r>
        <w:rPr>
          <w:rFonts w:ascii="Times New Roman" w:hAnsi="Times New Roman" w:hint="default"/>
          <w:sz w:val="28"/>
          <w:szCs w:val="28"/>
          <w:rtl w:val="0"/>
        </w:rPr>
        <w:t>С</w:t>
      </w:r>
      <w:r>
        <w:rPr>
          <w:rFonts w:ascii="Times New Roman" w:hAnsi="Times New Roman"/>
          <w:sz w:val="28"/>
          <w:szCs w:val="28"/>
          <w:rtl w:val="0"/>
        </w:rPr>
        <w:t>. 232</w:t>
      </w:r>
      <w:r>
        <w:rPr>
          <w:rFonts w:ascii="Times New Roman" w:hAnsi="Times New Roman" w:hint="default"/>
          <w:sz w:val="28"/>
          <w:szCs w:val="28"/>
          <w:rtl w:val="0"/>
        </w:rPr>
        <w:t>–</w:t>
      </w:r>
      <w:r>
        <w:rPr>
          <w:rFonts w:ascii="Times New Roman" w:hAnsi="Times New Roman"/>
          <w:sz w:val="28"/>
          <w:szCs w:val="28"/>
          <w:rtl w:val="0"/>
        </w:rPr>
        <w:t xml:space="preserve">233. </w:t>
      </w:r>
    </w:p>
    <w:p>
      <w:pPr>
        <w:pStyle w:val="Стандартний"/>
        <w:numPr>
          <w:ilvl w:val="0"/>
          <w:numId w:val="2"/>
        </w:numPr>
        <w:bidi w:val="0"/>
        <w:spacing w:before="0" w:after="373" w:line="24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ЦиковВ</w:t>
      </w:r>
      <w:r>
        <w:rPr>
          <w:rFonts w:ascii="Times New Roman" w:hAnsi="Times New Roman"/>
          <w:sz w:val="28"/>
          <w:szCs w:val="28"/>
          <w:rtl w:val="0"/>
        </w:rPr>
        <w:t>.</w:t>
      </w:r>
      <w:r>
        <w:rPr>
          <w:rFonts w:ascii="Times New Roman" w:hAnsi="Times New Roman" w:hint="default"/>
          <w:sz w:val="28"/>
          <w:szCs w:val="28"/>
          <w:rtl w:val="0"/>
        </w:rPr>
        <w:t>С</w:t>
      </w:r>
      <w:r>
        <w:rPr>
          <w:rFonts w:ascii="Times New Roman" w:hAnsi="Times New Roman"/>
          <w:sz w:val="28"/>
          <w:szCs w:val="28"/>
          <w:rtl w:val="0"/>
        </w:rPr>
        <w:t>.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Кукуруза</w:t>
      </w:r>
      <w:r>
        <w:rPr>
          <w:rFonts w:ascii="Times New Roman" w:hAnsi="Times New Roman"/>
          <w:sz w:val="28"/>
          <w:szCs w:val="28"/>
          <w:rtl w:val="0"/>
        </w:rPr>
        <w:t>:</w:t>
      </w:r>
      <w:r>
        <w:rPr>
          <w:rFonts w:ascii="Times New Roman" w:hAnsi="Times New Roman" w:hint="default"/>
          <w:sz w:val="28"/>
          <w:szCs w:val="28"/>
          <w:rtl w:val="0"/>
        </w:rPr>
        <w:t>технология</w:t>
      </w:r>
      <w:r>
        <w:rPr>
          <w:rFonts w:ascii="Times New Roman" w:hAnsi="Times New Roman"/>
          <w:sz w:val="28"/>
          <w:szCs w:val="28"/>
          <w:rtl w:val="0"/>
        </w:rPr>
        <w:t>,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гибриды</w:t>
      </w:r>
      <w:r>
        <w:rPr>
          <w:rFonts w:ascii="Times New Roman" w:hAnsi="Times New Roman"/>
          <w:sz w:val="28"/>
          <w:szCs w:val="28"/>
          <w:rtl w:val="0"/>
        </w:rPr>
        <w:t>,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семена</w:t>
      </w:r>
      <w:r>
        <w:rPr>
          <w:rFonts w:ascii="Times New Roman" w:hAnsi="Times New Roman"/>
          <w:sz w:val="28"/>
          <w:szCs w:val="28"/>
          <w:rtl w:val="0"/>
        </w:rPr>
        <w:t>.</w:t>
      </w:r>
      <w:r>
        <w:rPr>
          <w:rFonts w:ascii="Times New Roman" w:hAnsi="Times New Roman" w:hint="default"/>
          <w:sz w:val="28"/>
          <w:szCs w:val="28"/>
          <w:rtl w:val="0"/>
        </w:rPr>
        <w:t>Днепропетровск</w:t>
      </w:r>
      <w:r>
        <w:rPr>
          <w:rFonts w:ascii="Times New Roman" w:hAnsi="Times New Roman"/>
          <w:sz w:val="28"/>
          <w:szCs w:val="28"/>
          <w:rtl w:val="0"/>
        </w:rPr>
        <w:t>:</w:t>
      </w:r>
      <w:r>
        <w:rPr>
          <w:rFonts w:ascii="Times New Roman" w:hAnsi="Times New Roman" w:hint="default"/>
          <w:sz w:val="28"/>
          <w:szCs w:val="28"/>
          <w:rtl w:val="0"/>
        </w:rPr>
        <w:t>Зоря</w:t>
      </w:r>
      <w:r>
        <w:rPr>
          <w:rFonts w:ascii="Times New Roman" w:hAnsi="Times New Roman"/>
          <w:sz w:val="28"/>
          <w:szCs w:val="28"/>
          <w:rtl w:val="0"/>
        </w:rPr>
        <w:t xml:space="preserve">. 2003. 296 </w:t>
      </w:r>
      <w:r>
        <w:rPr>
          <w:rFonts w:ascii="Times New Roman" w:hAnsi="Times New Roman" w:hint="default"/>
          <w:sz w:val="28"/>
          <w:szCs w:val="28"/>
          <w:rtl w:val="0"/>
        </w:rPr>
        <w:t>с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cs="Times New Roman" w:hAnsi="Times New Roman" w:eastAsia="Times New Roman"/>
          <w:sz w:val="28"/>
          <w:szCs w:val="28"/>
          <w:rtl w:val="0"/>
        </w:rPr>
        <w:br w:type="textWrapping"/>
      </w:r>
    </w:p>
    <w:p>
      <w:pPr>
        <w:pStyle w:val="Стандартний"/>
        <w:numPr>
          <w:ilvl w:val="0"/>
          <w:numId w:val="2"/>
        </w:numPr>
        <w:bidi w:val="0"/>
        <w:spacing w:before="0" w:after="373" w:line="24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ЧистяковС</w:t>
      </w:r>
      <w:r>
        <w:rPr>
          <w:rFonts w:ascii="Times New Roman" w:hAnsi="Times New Roman"/>
          <w:sz w:val="28"/>
          <w:szCs w:val="28"/>
          <w:rtl w:val="0"/>
        </w:rPr>
        <w:t>.</w:t>
      </w:r>
      <w:r>
        <w:rPr>
          <w:rFonts w:ascii="Times New Roman" w:hAnsi="Times New Roman" w:hint="default"/>
          <w:sz w:val="28"/>
          <w:szCs w:val="28"/>
          <w:rtl w:val="0"/>
        </w:rPr>
        <w:t>Н</w:t>
      </w:r>
      <w:r>
        <w:rPr>
          <w:rFonts w:ascii="Times New Roman" w:hAnsi="Times New Roman"/>
          <w:sz w:val="28"/>
          <w:szCs w:val="28"/>
          <w:rtl w:val="0"/>
        </w:rPr>
        <w:t>.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 xml:space="preserve">Изучениединамикивлагоотдачизерномулинийигибридов кукурузы при его созревании </w:t>
      </w:r>
      <w:r>
        <w:rPr>
          <w:rFonts w:ascii="Times New Roman" w:hAnsi="Times New Roman"/>
          <w:sz w:val="28"/>
          <w:szCs w:val="28"/>
          <w:rtl w:val="0"/>
        </w:rPr>
        <w:t xml:space="preserve">/ </w:t>
      </w:r>
      <w:r>
        <w:rPr>
          <w:rFonts w:ascii="Times New Roman" w:hAnsi="Times New Roman" w:hint="default"/>
          <w:sz w:val="28"/>
          <w:szCs w:val="28"/>
          <w:rtl w:val="0"/>
        </w:rPr>
        <w:t>С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Н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Чистяков А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И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Супрунов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Р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В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Ласкин </w:t>
      </w:r>
      <w:r>
        <w:rPr>
          <w:rFonts w:ascii="Times New Roman" w:hAnsi="Times New Roman"/>
          <w:sz w:val="28"/>
          <w:szCs w:val="28"/>
          <w:rtl w:val="0"/>
        </w:rPr>
        <w:t xml:space="preserve">//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Научный журнал КубГАУ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  <w:lang w:val="en-US"/>
        </w:rPr>
        <w:t xml:space="preserve">— </w:t>
      </w:r>
      <w:r>
        <w:rPr>
          <w:rFonts w:ascii="Times New Roman" w:hAnsi="Times New Roman"/>
          <w:sz w:val="28"/>
          <w:szCs w:val="28"/>
          <w:rtl w:val="0"/>
        </w:rPr>
        <w:t xml:space="preserve">2012. </w:t>
      </w:r>
      <w:r>
        <w:rPr>
          <w:rFonts w:ascii="Times New Roman" w:hAnsi="Times New Roman" w:hint="default"/>
          <w:sz w:val="28"/>
          <w:szCs w:val="28"/>
          <w:rtl w:val="0"/>
          <w:lang w:val="en-US"/>
        </w:rPr>
        <w:t xml:space="preserve">— </w:t>
      </w:r>
      <w:r>
        <w:rPr>
          <w:rFonts w:ascii="Times New Roman" w:hAnsi="Times New Roman"/>
          <w:sz w:val="28"/>
          <w:szCs w:val="28"/>
          <w:rtl w:val="0"/>
        </w:rPr>
        <w:t xml:space="preserve">No 84 (10). </w:t>
      </w:r>
      <w:r>
        <w:rPr>
          <w:rFonts w:ascii="Times New Roman" w:hAnsi="Times New Roman" w:hint="default"/>
          <w:sz w:val="28"/>
          <w:szCs w:val="28"/>
          <w:rtl w:val="0"/>
          <w:lang w:val="en-US"/>
        </w:rPr>
        <w:t>— С</w:t>
      </w:r>
      <w:r>
        <w:rPr>
          <w:rFonts w:ascii="Times New Roman" w:hAnsi="Times New Roman"/>
          <w:sz w:val="28"/>
          <w:szCs w:val="28"/>
          <w:rtl w:val="0"/>
        </w:rPr>
        <w:t>. 1</w:t>
      </w:r>
      <w:r>
        <w:rPr>
          <w:rFonts w:ascii="Times New Roman" w:hAnsi="Times New Roman" w:hint="default"/>
          <w:sz w:val="28"/>
          <w:szCs w:val="28"/>
          <w:rtl w:val="0"/>
        </w:rPr>
        <w:t>–</w:t>
      </w:r>
      <w:r>
        <w:rPr>
          <w:rFonts w:ascii="Times New Roman" w:hAnsi="Times New Roman"/>
          <w:sz w:val="28"/>
          <w:szCs w:val="28"/>
          <w:rtl w:val="0"/>
        </w:rPr>
        <w:t xml:space="preserve">12. </w:t>
      </w:r>
    </w:p>
    <w:p>
      <w:pPr>
        <w:pStyle w:val="Стандартний"/>
        <w:numPr>
          <w:ilvl w:val="0"/>
          <w:numId w:val="2"/>
        </w:numPr>
        <w:bidi w:val="0"/>
        <w:spacing w:before="0" w:after="373" w:line="24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Цицюра Я</w:t>
      </w:r>
      <w:r>
        <w:rPr>
          <w:rFonts w:ascii="Times New Roman" w:hAnsi="Times New Roman"/>
          <w:sz w:val="28"/>
          <w:szCs w:val="28"/>
          <w:rtl w:val="0"/>
        </w:rPr>
        <w:t>.</w:t>
      </w:r>
      <w:r>
        <w:rPr>
          <w:rFonts w:ascii="Times New Roman" w:hAnsi="Times New Roman" w:hint="default"/>
          <w:sz w:val="28"/>
          <w:szCs w:val="28"/>
          <w:rtl w:val="0"/>
        </w:rPr>
        <w:t>Г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Вихідний матеріал для селекції гібридів кукурудзи з інтенсивною віддачею вологи зерном </w:t>
      </w:r>
      <w:r>
        <w:rPr>
          <w:rFonts w:ascii="Times New Roman" w:hAnsi="Times New Roman"/>
          <w:sz w:val="28"/>
          <w:szCs w:val="28"/>
          <w:rtl w:val="0"/>
        </w:rPr>
        <w:t xml:space="preserve">// </w:t>
      </w:r>
      <w:r>
        <w:rPr>
          <w:rFonts w:ascii="Times New Roman" w:hAnsi="Times New Roman" w:hint="default"/>
          <w:sz w:val="28"/>
          <w:szCs w:val="28"/>
          <w:rtl w:val="0"/>
        </w:rPr>
        <w:t>дис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Канд</w:t>
      </w:r>
      <w:r>
        <w:rPr>
          <w:rFonts w:ascii="Times New Roman" w:hAnsi="Times New Roman"/>
          <w:sz w:val="28"/>
          <w:szCs w:val="28"/>
          <w:rtl w:val="0"/>
        </w:rPr>
        <w:t xml:space="preserve">.. </w:t>
      </w:r>
      <w:r>
        <w:rPr>
          <w:rFonts w:ascii="Times New Roman" w:hAnsi="Times New Roman" w:hint="default"/>
          <w:sz w:val="28"/>
          <w:szCs w:val="28"/>
          <w:rtl w:val="0"/>
        </w:rPr>
        <w:t>с</w:t>
      </w:r>
      <w:r>
        <w:rPr>
          <w:rFonts w:ascii="Times New Roman" w:hAnsi="Times New Roman"/>
          <w:sz w:val="28"/>
          <w:szCs w:val="28"/>
          <w:rtl w:val="0"/>
        </w:rPr>
        <w:t>.-</w:t>
      </w:r>
      <w:r>
        <w:rPr>
          <w:rFonts w:ascii="Times New Roman" w:hAnsi="Times New Roman" w:hint="default"/>
          <w:sz w:val="28"/>
          <w:szCs w:val="28"/>
          <w:rtl w:val="0"/>
        </w:rPr>
        <w:t>г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наук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— Київ</w:t>
      </w:r>
      <w:r>
        <w:rPr>
          <w:rFonts w:ascii="Times New Roman" w:hAnsi="Times New Roman"/>
          <w:sz w:val="28"/>
          <w:szCs w:val="28"/>
          <w:rtl w:val="0"/>
        </w:rPr>
        <w:t xml:space="preserve">, 2001. </w:t>
      </w:r>
      <w:r>
        <w:rPr>
          <w:rFonts w:ascii="Times New Roman" w:hAnsi="Times New Roman" w:hint="default"/>
          <w:sz w:val="28"/>
          <w:szCs w:val="28"/>
          <w:rtl w:val="0"/>
          <w:lang w:val="en-US"/>
        </w:rPr>
        <w:t xml:space="preserve">— </w:t>
      </w:r>
      <w:r>
        <w:rPr>
          <w:rFonts w:ascii="Times New Roman" w:hAnsi="Times New Roman"/>
          <w:sz w:val="28"/>
          <w:szCs w:val="28"/>
          <w:rtl w:val="0"/>
        </w:rPr>
        <w:t xml:space="preserve">20 </w:t>
      </w:r>
      <w:r>
        <w:rPr>
          <w:rFonts w:ascii="Times New Roman" w:hAnsi="Times New Roman" w:hint="default"/>
          <w:sz w:val="28"/>
          <w:szCs w:val="28"/>
          <w:rtl w:val="0"/>
        </w:rPr>
        <w:t>с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Стандартний"/>
        <w:numPr>
          <w:ilvl w:val="0"/>
          <w:numId w:val="2"/>
        </w:numPr>
        <w:bidi w:val="0"/>
        <w:spacing w:before="0" w:after="373" w:line="24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Гур’єва І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А</w:t>
      </w:r>
      <w:r>
        <w:rPr>
          <w:rFonts w:ascii="Times New Roman" w:hAnsi="Times New Roman"/>
          <w:sz w:val="28"/>
          <w:szCs w:val="28"/>
          <w:rtl w:val="0"/>
        </w:rPr>
        <w:t xml:space="preserve">., </w:t>
      </w:r>
      <w:r>
        <w:rPr>
          <w:rFonts w:ascii="Times New Roman" w:hAnsi="Times New Roman" w:hint="default"/>
          <w:sz w:val="28"/>
          <w:szCs w:val="28"/>
          <w:rtl w:val="0"/>
        </w:rPr>
        <w:t>Рябчун В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К</w:t>
      </w:r>
      <w:r>
        <w:rPr>
          <w:rFonts w:ascii="Times New Roman" w:hAnsi="Times New Roman"/>
          <w:sz w:val="28"/>
          <w:szCs w:val="28"/>
          <w:rtl w:val="0"/>
        </w:rPr>
        <w:t xml:space="preserve">.,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Козубенко Л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В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Класифікатор–довідник виду </w:t>
      </w:r>
      <w:r>
        <w:rPr>
          <w:rFonts w:ascii="Times Roman" w:hAnsi="Times Roman"/>
          <w:i w:val="1"/>
          <w:iCs w:val="1"/>
          <w:sz w:val="28"/>
          <w:szCs w:val="28"/>
          <w:rtl w:val="0"/>
          <w:lang w:val="en-US"/>
        </w:rPr>
        <w:t xml:space="preserve">Zea mays </w:t>
      </w:r>
      <w:r>
        <w:rPr>
          <w:rFonts w:ascii="Times New Roman" w:hAnsi="Times New Roman"/>
          <w:sz w:val="28"/>
          <w:szCs w:val="28"/>
          <w:rtl w:val="0"/>
        </w:rPr>
        <w:t xml:space="preserve">L. </w:t>
      </w:r>
      <w:r>
        <w:rPr>
          <w:rFonts w:ascii="Times New Roman" w:hAnsi="Times New Roman" w:hint="default"/>
          <w:sz w:val="28"/>
          <w:szCs w:val="28"/>
          <w:rtl w:val="0"/>
        </w:rPr>
        <w:t>Харків</w:t>
      </w:r>
      <w:r>
        <w:rPr>
          <w:rFonts w:ascii="Times New Roman" w:hAnsi="Times New Roman"/>
          <w:sz w:val="28"/>
          <w:szCs w:val="28"/>
          <w:rtl w:val="0"/>
        </w:rPr>
        <w:t>, 1994. 72</w:t>
      </w:r>
      <w:r>
        <w:rPr>
          <w:rFonts w:ascii="Times New Roman" w:hAnsi="Times New Roman" w:hint="default"/>
          <w:sz w:val="28"/>
          <w:szCs w:val="28"/>
          <w:rtl w:val="0"/>
        </w:rPr>
        <w:t>с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Стандартний"/>
        <w:numPr>
          <w:ilvl w:val="0"/>
          <w:numId w:val="2"/>
        </w:numPr>
        <w:bidi w:val="0"/>
        <w:spacing w:before="0" w:after="373" w:line="24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rtl w:val="0"/>
        </w:rPr>
        <w:t>Климова О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Е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Генетическая ценность самоопыленных линий сахарной кукурузы по продуктивности и ее элементам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Кукуруза и сорго</w:t>
      </w:r>
      <w:r>
        <w:rPr>
          <w:rFonts w:ascii="Times New Roman" w:hAnsi="Times New Roman"/>
          <w:sz w:val="28"/>
          <w:szCs w:val="28"/>
          <w:rtl w:val="0"/>
        </w:rPr>
        <w:t xml:space="preserve">. 2006. No 4. </w:t>
      </w:r>
      <w:r>
        <w:rPr>
          <w:rFonts w:ascii="Times New Roman" w:hAnsi="Times New Roman" w:hint="default"/>
          <w:sz w:val="28"/>
          <w:szCs w:val="28"/>
          <w:rtl w:val="0"/>
        </w:rPr>
        <w:t>С</w:t>
      </w:r>
      <w:r>
        <w:rPr>
          <w:rFonts w:ascii="Times New Roman" w:hAnsi="Times New Roman"/>
          <w:sz w:val="28"/>
          <w:szCs w:val="28"/>
          <w:rtl w:val="0"/>
        </w:rPr>
        <w:t>. 20</w:t>
      </w:r>
      <w:r>
        <w:rPr>
          <w:rFonts w:ascii="Times New Roman" w:hAnsi="Times New Roman" w:hint="default"/>
          <w:sz w:val="28"/>
          <w:szCs w:val="28"/>
          <w:rtl w:val="0"/>
        </w:rPr>
        <w:t>–</w:t>
      </w:r>
      <w:r>
        <w:rPr>
          <w:rFonts w:ascii="Times New Roman" w:hAnsi="Times New Roman"/>
          <w:sz w:val="28"/>
          <w:szCs w:val="28"/>
          <w:rtl w:val="0"/>
        </w:rPr>
        <w:t xml:space="preserve">24. </w:t>
      </w:r>
    </w:p>
    <w:p>
      <w:pPr>
        <w:pStyle w:val="Стандартний"/>
        <w:numPr>
          <w:ilvl w:val="0"/>
          <w:numId w:val="2"/>
        </w:numPr>
        <w:bidi w:val="0"/>
        <w:spacing w:before="0" w:after="373" w:line="24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rtl w:val="0"/>
          <w:lang w:val="ru-RU"/>
        </w:rPr>
        <w:t>Дзюбецкий Б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В</w:t>
      </w:r>
      <w:r>
        <w:rPr>
          <w:rFonts w:ascii="Times New Roman" w:hAnsi="Times New Roman"/>
          <w:sz w:val="28"/>
          <w:szCs w:val="28"/>
          <w:rtl w:val="0"/>
        </w:rPr>
        <w:t xml:space="preserve">.,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Черчель В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Ю</w:t>
      </w:r>
      <w:r>
        <w:rPr>
          <w:rFonts w:ascii="Times New Roman" w:hAnsi="Times New Roman"/>
          <w:sz w:val="28"/>
          <w:szCs w:val="28"/>
          <w:rtl w:val="0"/>
        </w:rPr>
        <w:t xml:space="preserve">., </w:t>
      </w:r>
      <w:r>
        <w:rPr>
          <w:rFonts w:ascii="Times New Roman" w:hAnsi="Times New Roman" w:hint="default"/>
          <w:sz w:val="28"/>
          <w:szCs w:val="28"/>
          <w:rtl w:val="0"/>
        </w:rPr>
        <w:t>Антонюк С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П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Селекція кукурудзи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Генетика і селекція в Україні на межі тисячоліть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К</w:t>
      </w:r>
      <w:r>
        <w:rPr>
          <w:rFonts w:ascii="Times New Roman" w:hAnsi="Times New Roman"/>
          <w:sz w:val="28"/>
          <w:szCs w:val="28"/>
          <w:rtl w:val="0"/>
        </w:rPr>
        <w:t xml:space="preserve">.: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Логос</w:t>
      </w:r>
      <w:r>
        <w:rPr>
          <w:rFonts w:ascii="Times New Roman" w:hAnsi="Times New Roman"/>
          <w:sz w:val="28"/>
          <w:szCs w:val="28"/>
          <w:rtl w:val="0"/>
        </w:rPr>
        <w:t xml:space="preserve">, 2001. </w:t>
      </w:r>
      <w:r>
        <w:rPr>
          <w:rFonts w:ascii="Times New Roman" w:hAnsi="Times New Roman" w:hint="default"/>
          <w:sz w:val="28"/>
          <w:szCs w:val="28"/>
          <w:rtl w:val="0"/>
        </w:rPr>
        <w:t>Т</w:t>
      </w:r>
      <w:r>
        <w:rPr>
          <w:rFonts w:ascii="Times New Roman" w:hAnsi="Times New Roman"/>
          <w:sz w:val="28"/>
          <w:szCs w:val="28"/>
          <w:rtl w:val="0"/>
        </w:rPr>
        <w:t xml:space="preserve">. 2 636 </w:t>
      </w:r>
      <w:r>
        <w:rPr>
          <w:rFonts w:ascii="Times New Roman" w:hAnsi="Times New Roman" w:hint="default"/>
          <w:sz w:val="28"/>
          <w:szCs w:val="28"/>
          <w:rtl w:val="0"/>
        </w:rPr>
        <w:t>с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cs="Times New Roman" w:hAnsi="Times New Roman" w:eastAsia="Times New Roman"/>
          <w:sz w:val="28"/>
          <w:szCs w:val="28"/>
          <w:rtl w:val="0"/>
        </w:rPr>
        <w:br w:type="textWrapping"/>
      </w:r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Times Roman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Номери"/>
  </w:abstractNum>
  <w:abstractNum w:abstractNumId="1">
    <w:multiLevelType w:val="hybridMultilevel"/>
    <w:styleLink w:val="Номери"/>
    <w:lvl w:ilvl="0">
      <w:start w:val="1"/>
      <w:numFmt w:val="decimal"/>
      <w:suff w:val="tab"/>
      <w:lvlText w:val="%1."/>
      <w:lvlJc w:val="left"/>
      <w:pPr>
        <w:ind w:left="720" w:hanging="50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."/>
      <w:lvlJc w:val="left"/>
      <w:pPr>
        <w:ind w:left="815" w:hanging="37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3."/>
      <w:lvlJc w:val="left"/>
      <w:pPr>
        <w:ind w:left="1035" w:hanging="37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1255" w:hanging="37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."/>
      <w:lvlJc w:val="left"/>
      <w:pPr>
        <w:ind w:left="1475" w:hanging="37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."/>
      <w:lvlJc w:val="left"/>
      <w:pPr>
        <w:ind w:left="1695" w:hanging="37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1915" w:hanging="37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."/>
      <w:lvlJc w:val="left"/>
      <w:pPr>
        <w:ind w:left="2135" w:hanging="37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."/>
      <w:lvlJc w:val="left"/>
      <w:pPr>
        <w:ind w:left="2355" w:hanging="37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українська" w:val="‘“(〔[{〈《「『【⦅〘〖«〝︵︷︹︻︽︿﹁﹃﹇﹙﹛﹝｢"/>
  <w:noLineBreaksBefore w:lang="українська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Стандартний">
    <w:name w:val="Стандартний"/>
    <w:next w:val="Стандартний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Helvetica Neue" w:cs="Arial Unicode MS" w:hAnsi="Helvetica Neue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numbering" w:styleId="Номери">
    <w:name w:val="Номери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