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01C2" w:rsidRDefault="00BB01C2" w:rsidP="00BB01C2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B01C2">
        <w:rPr>
          <w:rFonts w:ascii="Times New Roman" w:hAnsi="Times New Roman" w:cs="Times New Roman"/>
          <w:sz w:val="28"/>
          <w:szCs w:val="28"/>
        </w:rPr>
        <w:t>УМОВИ ПЕРЕЗИМІ</w:t>
      </w:r>
      <w:proofErr w:type="gramStart"/>
      <w:r w:rsidRPr="00BB01C2">
        <w:rPr>
          <w:rFonts w:ascii="Times New Roman" w:hAnsi="Times New Roman" w:cs="Times New Roman"/>
          <w:sz w:val="28"/>
          <w:szCs w:val="28"/>
        </w:rPr>
        <w:t>ВЛ</w:t>
      </w:r>
      <w:proofErr w:type="gramEnd"/>
      <w:r w:rsidRPr="00BB01C2">
        <w:rPr>
          <w:rFonts w:ascii="Times New Roman" w:hAnsi="Times New Roman" w:cs="Times New Roman"/>
          <w:sz w:val="28"/>
          <w:szCs w:val="28"/>
        </w:rPr>
        <w:t xml:space="preserve">І ТА УРОЖАЙНІСЬ ПШЕНИЦІ ОЗИМОЇ </w:t>
      </w:r>
    </w:p>
    <w:p w:rsidR="00BB01C2" w:rsidRDefault="00BB01C2" w:rsidP="00BB01C2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B01C2">
        <w:rPr>
          <w:rFonts w:ascii="Times New Roman" w:hAnsi="Times New Roman" w:cs="Times New Roman"/>
          <w:sz w:val="28"/>
          <w:szCs w:val="28"/>
        </w:rPr>
        <w:t>В</w:t>
      </w:r>
      <w:r w:rsidRPr="00BB01C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BB01C2">
        <w:rPr>
          <w:rFonts w:ascii="Times New Roman" w:hAnsi="Times New Roman" w:cs="Times New Roman"/>
          <w:sz w:val="28"/>
          <w:szCs w:val="28"/>
        </w:rPr>
        <w:t>Г</w:t>
      </w:r>
      <w:r w:rsidRPr="00BB01C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Крижанівський</w:t>
      </w:r>
      <w:proofErr w:type="spellEnd"/>
      <w:r w:rsidRPr="00BB01C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BB01C2">
        <w:rPr>
          <w:rFonts w:ascii="Times New Roman" w:hAnsi="Times New Roman" w:cs="Times New Roman"/>
          <w:sz w:val="28"/>
          <w:szCs w:val="28"/>
        </w:rPr>
        <w:t>Д</w:t>
      </w:r>
      <w:r w:rsidRPr="00BB01C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BB01C2">
        <w:rPr>
          <w:rFonts w:ascii="Times New Roman" w:hAnsi="Times New Roman" w:cs="Times New Roman"/>
          <w:sz w:val="28"/>
          <w:szCs w:val="28"/>
        </w:rPr>
        <w:t>І</w:t>
      </w:r>
      <w:r w:rsidRPr="00BB01C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Святий</w:t>
      </w:r>
      <w:proofErr w:type="spellEnd"/>
      <w:r w:rsidRPr="00BB01C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BB01C2">
        <w:rPr>
          <w:rFonts w:ascii="Times New Roman" w:hAnsi="Times New Roman" w:cs="Times New Roman"/>
          <w:sz w:val="28"/>
          <w:szCs w:val="28"/>
        </w:rPr>
        <w:t>В</w:t>
      </w:r>
      <w:r w:rsidRPr="00BB01C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BB01C2">
        <w:rPr>
          <w:rFonts w:ascii="Times New Roman" w:hAnsi="Times New Roman" w:cs="Times New Roman"/>
          <w:sz w:val="28"/>
          <w:szCs w:val="28"/>
        </w:rPr>
        <w:t>П</w:t>
      </w:r>
      <w:r w:rsidRPr="00BB01C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BB01C2">
        <w:rPr>
          <w:rFonts w:ascii="Times New Roman" w:hAnsi="Times New Roman" w:cs="Times New Roman"/>
          <w:sz w:val="28"/>
          <w:szCs w:val="28"/>
        </w:rPr>
        <w:t>Науменко</w:t>
      </w:r>
      <w:r w:rsidRPr="00BB01C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BB01C2">
        <w:rPr>
          <w:rFonts w:ascii="Times New Roman" w:hAnsi="Times New Roman" w:cs="Times New Roman"/>
          <w:sz w:val="28"/>
          <w:szCs w:val="28"/>
        </w:rPr>
        <w:t>М</w:t>
      </w:r>
      <w:r w:rsidRPr="00BB01C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BB01C2">
        <w:rPr>
          <w:rFonts w:ascii="Times New Roman" w:hAnsi="Times New Roman" w:cs="Times New Roman"/>
          <w:sz w:val="28"/>
          <w:szCs w:val="28"/>
        </w:rPr>
        <w:t>В</w:t>
      </w:r>
      <w:r w:rsidRPr="00BB01C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BB01C2">
        <w:rPr>
          <w:rFonts w:ascii="Times New Roman" w:hAnsi="Times New Roman" w:cs="Times New Roman"/>
          <w:sz w:val="28"/>
          <w:szCs w:val="28"/>
        </w:rPr>
        <w:t>Король</w:t>
      </w:r>
      <w:r w:rsidRPr="00BB01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BB01C2" w:rsidRPr="00BB01C2" w:rsidRDefault="00BB01C2" w:rsidP="00BB01C2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B01C2">
        <w:rPr>
          <w:rFonts w:ascii="Times New Roman" w:hAnsi="Times New Roman" w:cs="Times New Roman"/>
          <w:sz w:val="28"/>
          <w:szCs w:val="28"/>
        </w:rPr>
        <w:t>Уманський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національний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садівництва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Україна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r w:rsidRPr="00BB01C2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BB01C2">
        <w:rPr>
          <w:rFonts w:ascii="Times New Roman" w:hAnsi="Times New Roman" w:cs="Times New Roman"/>
          <w:sz w:val="28"/>
          <w:szCs w:val="28"/>
        </w:rPr>
        <w:t>-</w:t>
      </w:r>
      <w:r w:rsidRPr="00BB01C2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BB01C2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en-US"/>
        </w:rPr>
        <w:fldChar w:fldCharType="begin"/>
      </w:r>
      <w:r w:rsidRPr="00BB01C2">
        <w:rPr>
          <w:rFonts w:ascii="Times New Roman" w:hAnsi="Times New Roman" w:cs="Times New Roman"/>
          <w:sz w:val="28"/>
          <w:szCs w:val="28"/>
        </w:rPr>
        <w:instrText xml:space="preserve"> </w:instrText>
      </w:r>
      <w:r>
        <w:rPr>
          <w:rFonts w:ascii="Times New Roman" w:hAnsi="Times New Roman" w:cs="Times New Roman"/>
          <w:sz w:val="28"/>
          <w:szCs w:val="28"/>
          <w:lang w:val="en-US"/>
        </w:rPr>
        <w:instrText>HYPERLINK</w:instrText>
      </w:r>
      <w:r w:rsidRPr="00BB01C2">
        <w:rPr>
          <w:rFonts w:ascii="Times New Roman" w:hAnsi="Times New Roman" w:cs="Times New Roman"/>
          <w:sz w:val="28"/>
          <w:szCs w:val="28"/>
        </w:rPr>
        <w:instrText xml:space="preserve"> "</w:instrText>
      </w:r>
      <w:r>
        <w:rPr>
          <w:rFonts w:ascii="Times New Roman" w:hAnsi="Times New Roman" w:cs="Times New Roman"/>
          <w:sz w:val="28"/>
          <w:szCs w:val="28"/>
          <w:lang w:val="en-US"/>
        </w:rPr>
        <w:instrText>mailto</w:instrText>
      </w:r>
      <w:r w:rsidRPr="00BB01C2">
        <w:rPr>
          <w:rFonts w:ascii="Times New Roman" w:hAnsi="Times New Roman" w:cs="Times New Roman"/>
          <w:sz w:val="28"/>
          <w:szCs w:val="28"/>
        </w:rPr>
        <w:instrText>:</w:instrText>
      </w:r>
      <w:r w:rsidRPr="00BB01C2">
        <w:rPr>
          <w:rFonts w:ascii="Times New Roman" w:hAnsi="Times New Roman" w:cs="Times New Roman"/>
          <w:sz w:val="28"/>
          <w:szCs w:val="28"/>
          <w:lang w:val="en-US"/>
        </w:rPr>
        <w:instrText>vitaliy</w:instrText>
      </w:r>
      <w:r w:rsidRPr="00BB01C2">
        <w:rPr>
          <w:rFonts w:ascii="Times New Roman" w:hAnsi="Times New Roman" w:cs="Times New Roman"/>
          <w:sz w:val="28"/>
          <w:szCs w:val="28"/>
        </w:rPr>
        <w:instrText>.</w:instrText>
      </w:r>
      <w:r w:rsidRPr="00BB01C2">
        <w:rPr>
          <w:rFonts w:ascii="Times New Roman" w:hAnsi="Times New Roman" w:cs="Times New Roman"/>
          <w:sz w:val="28"/>
          <w:szCs w:val="28"/>
          <w:lang w:val="en-US"/>
        </w:rPr>
        <w:instrText>kryzhanovskiy</w:instrText>
      </w:r>
      <w:r w:rsidRPr="00BB01C2">
        <w:rPr>
          <w:rFonts w:ascii="Times New Roman" w:hAnsi="Times New Roman" w:cs="Times New Roman"/>
          <w:sz w:val="28"/>
          <w:szCs w:val="28"/>
        </w:rPr>
        <w:instrText>.82@</w:instrText>
      </w:r>
      <w:r w:rsidRPr="00BB01C2">
        <w:rPr>
          <w:rFonts w:ascii="Times New Roman" w:hAnsi="Times New Roman" w:cs="Times New Roman"/>
          <w:sz w:val="28"/>
          <w:szCs w:val="28"/>
          <w:lang w:val="en-US"/>
        </w:rPr>
        <w:instrText>ukr</w:instrText>
      </w:r>
      <w:r w:rsidRPr="00BB01C2">
        <w:rPr>
          <w:rFonts w:ascii="Times New Roman" w:hAnsi="Times New Roman" w:cs="Times New Roman"/>
          <w:sz w:val="28"/>
          <w:szCs w:val="28"/>
        </w:rPr>
        <w:instrText>.</w:instrText>
      </w:r>
      <w:r w:rsidRPr="00BB01C2">
        <w:rPr>
          <w:rFonts w:ascii="Times New Roman" w:hAnsi="Times New Roman" w:cs="Times New Roman"/>
          <w:sz w:val="28"/>
          <w:szCs w:val="28"/>
          <w:lang w:val="en-US"/>
        </w:rPr>
        <w:instrText>net</w:instrText>
      </w:r>
      <w:r w:rsidRPr="00BB01C2">
        <w:rPr>
          <w:rFonts w:ascii="Times New Roman" w:hAnsi="Times New Roman" w:cs="Times New Roman"/>
          <w:sz w:val="28"/>
          <w:szCs w:val="28"/>
        </w:rPr>
        <w:instrText xml:space="preserve">" </w:instrText>
      </w:r>
      <w:r>
        <w:rPr>
          <w:rFonts w:ascii="Times New Roman" w:hAnsi="Times New Roman" w:cs="Times New Roman"/>
          <w:sz w:val="28"/>
          <w:szCs w:val="28"/>
          <w:lang w:val="en-US"/>
        </w:rPr>
        <w:fldChar w:fldCharType="separate"/>
      </w:r>
      <w:r w:rsidRPr="00D436DB">
        <w:rPr>
          <w:rStyle w:val="a3"/>
          <w:rFonts w:ascii="Times New Roman" w:hAnsi="Times New Roman" w:cs="Times New Roman"/>
          <w:sz w:val="28"/>
          <w:szCs w:val="28"/>
          <w:lang w:val="en-US"/>
        </w:rPr>
        <w:t>vitaliy</w:t>
      </w:r>
      <w:r w:rsidRPr="00BB01C2">
        <w:rPr>
          <w:rStyle w:val="a3"/>
          <w:rFonts w:ascii="Times New Roman" w:hAnsi="Times New Roman" w:cs="Times New Roman"/>
          <w:sz w:val="28"/>
          <w:szCs w:val="28"/>
        </w:rPr>
        <w:t>.</w:t>
      </w:r>
      <w:r w:rsidRPr="00D436DB">
        <w:rPr>
          <w:rStyle w:val="a3"/>
          <w:rFonts w:ascii="Times New Roman" w:hAnsi="Times New Roman" w:cs="Times New Roman"/>
          <w:sz w:val="28"/>
          <w:szCs w:val="28"/>
          <w:lang w:val="en-US"/>
        </w:rPr>
        <w:t>kryzhanovskiy</w:t>
      </w:r>
      <w:r w:rsidRPr="00BB01C2">
        <w:rPr>
          <w:rStyle w:val="a3"/>
          <w:rFonts w:ascii="Times New Roman" w:hAnsi="Times New Roman" w:cs="Times New Roman"/>
          <w:sz w:val="28"/>
          <w:szCs w:val="28"/>
        </w:rPr>
        <w:t>.82@</w:t>
      </w:r>
      <w:r w:rsidRPr="00D436DB">
        <w:rPr>
          <w:rStyle w:val="a3"/>
          <w:rFonts w:ascii="Times New Roman" w:hAnsi="Times New Roman" w:cs="Times New Roman"/>
          <w:sz w:val="28"/>
          <w:szCs w:val="28"/>
          <w:lang w:val="en-US"/>
        </w:rPr>
        <w:t>ukr</w:t>
      </w:r>
      <w:r w:rsidRPr="00BB01C2">
        <w:rPr>
          <w:rStyle w:val="a3"/>
          <w:rFonts w:ascii="Times New Roman" w:hAnsi="Times New Roman" w:cs="Times New Roman"/>
          <w:sz w:val="28"/>
          <w:szCs w:val="28"/>
        </w:rPr>
        <w:t>.</w:t>
      </w:r>
      <w:r w:rsidRPr="00D436DB">
        <w:rPr>
          <w:rStyle w:val="a3"/>
          <w:rFonts w:ascii="Times New Roman" w:hAnsi="Times New Roman" w:cs="Times New Roman"/>
          <w:sz w:val="28"/>
          <w:szCs w:val="28"/>
          <w:lang w:val="en-US"/>
        </w:rPr>
        <w:t>net</w:t>
      </w:r>
      <w:r>
        <w:rPr>
          <w:rFonts w:ascii="Times New Roman" w:hAnsi="Times New Roman" w:cs="Times New Roman"/>
          <w:sz w:val="28"/>
          <w:szCs w:val="28"/>
          <w:lang w:val="en-US"/>
        </w:rPr>
        <w:fldChar w:fldCharType="end"/>
      </w:r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5515" w:rsidRPr="00BB01C2" w:rsidRDefault="00BB01C2" w:rsidP="00BB01C2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roofErr w:type="spellStart"/>
      <w:r w:rsidRPr="00BB01C2">
        <w:rPr>
          <w:rFonts w:ascii="Times New Roman" w:hAnsi="Times New Roman" w:cs="Times New Roman"/>
          <w:sz w:val="28"/>
          <w:szCs w:val="28"/>
        </w:rPr>
        <w:t>Погодні</w:t>
      </w:r>
      <w:proofErr w:type="spellEnd"/>
      <w:r w:rsidRPr="00BB01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B01C2">
        <w:rPr>
          <w:rFonts w:ascii="Times New Roman" w:hAnsi="Times New Roman" w:cs="Times New Roman"/>
          <w:sz w:val="28"/>
          <w:szCs w:val="28"/>
        </w:rPr>
        <w:t>перепади</w:t>
      </w:r>
      <w:r w:rsidRPr="00BB01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змусили</w:t>
      </w:r>
      <w:proofErr w:type="spellEnd"/>
      <w:r w:rsidRPr="00BB01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цього</w:t>
      </w:r>
      <w:proofErr w:type="spellEnd"/>
      <w:r w:rsidRPr="00BB01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B01C2">
        <w:rPr>
          <w:rFonts w:ascii="Times New Roman" w:hAnsi="Times New Roman" w:cs="Times New Roman"/>
          <w:sz w:val="28"/>
          <w:szCs w:val="28"/>
        </w:rPr>
        <w:t>року</w:t>
      </w:r>
      <w:r w:rsidRPr="00BB01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багатьох</w:t>
      </w:r>
      <w:proofErr w:type="spellEnd"/>
      <w:r w:rsidRPr="00BB01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агровиробників</w:t>
      </w:r>
      <w:proofErr w:type="spellEnd"/>
      <w:r w:rsidRPr="00BB01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гадати</w:t>
      </w:r>
      <w:proofErr w:type="spellEnd"/>
      <w:r w:rsidRPr="00BB01C2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BB01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B01C2">
        <w:rPr>
          <w:rFonts w:ascii="Times New Roman" w:hAnsi="Times New Roman" w:cs="Times New Roman"/>
          <w:sz w:val="28"/>
          <w:szCs w:val="28"/>
        </w:rPr>
        <w:t>буде</w:t>
      </w:r>
      <w:r w:rsidRPr="00BB01C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BB01C2">
        <w:rPr>
          <w:rFonts w:ascii="Times New Roman" w:hAnsi="Times New Roman" w:cs="Times New Roman"/>
          <w:sz w:val="28"/>
          <w:szCs w:val="28"/>
        </w:rPr>
        <w:t>як</w:t>
      </w:r>
      <w:r w:rsidRPr="00BB01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перезимують</w:t>
      </w:r>
      <w:proofErr w:type="spellEnd"/>
      <w:r w:rsidRPr="00BB01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озимі</w:t>
      </w:r>
      <w:proofErr w:type="spellEnd"/>
      <w:r w:rsidRPr="00BB01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BB01C2">
        <w:rPr>
          <w:rFonts w:ascii="Times New Roman" w:hAnsi="Times New Roman" w:cs="Times New Roman"/>
          <w:sz w:val="28"/>
          <w:szCs w:val="28"/>
        </w:rPr>
        <w:t>пос</w:t>
      </w:r>
      <w:proofErr w:type="gramEnd"/>
      <w:r w:rsidRPr="00BB01C2">
        <w:rPr>
          <w:rFonts w:ascii="Times New Roman" w:hAnsi="Times New Roman" w:cs="Times New Roman"/>
          <w:sz w:val="28"/>
          <w:szCs w:val="28"/>
        </w:rPr>
        <w:t>іви</w:t>
      </w:r>
      <w:proofErr w:type="spellEnd"/>
      <w:r w:rsidRPr="00BB01C2">
        <w:rPr>
          <w:rFonts w:ascii="Times New Roman" w:hAnsi="Times New Roman" w:cs="Times New Roman"/>
          <w:sz w:val="28"/>
          <w:szCs w:val="28"/>
          <w:lang w:val="en-US"/>
        </w:rPr>
        <w:t xml:space="preserve">?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Задля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моніторингу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варто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знати, як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саме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формується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морозо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- та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зимостійкість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пшениці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озимої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та на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варто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звернути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увагу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обстеженні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посіві</w:t>
      </w:r>
      <w:proofErr w:type="gramStart"/>
      <w:r w:rsidRPr="00BB01C2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Pr="00BB01C2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морозостійкістю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рослин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пшениці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озимої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розуміють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стійкість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проти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низьких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негативних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температур (Гук, 2019).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Зимостійкість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B01C2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Pr="00BB01C2">
        <w:rPr>
          <w:rFonts w:ascii="Times New Roman" w:hAnsi="Times New Roman" w:cs="Times New Roman"/>
          <w:sz w:val="28"/>
          <w:szCs w:val="28"/>
        </w:rPr>
        <w:t>ійкість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зимуючих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рослин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проти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комплексу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несприятливих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умов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зимівлі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осінній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, зимовий і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весняний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періоди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Мороз</w:t>
      </w:r>
      <w:proofErr w:type="gramStart"/>
      <w:r w:rsidRPr="00BB01C2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BB01C2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зимостійкість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складні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фізіологічні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стани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озимих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рослин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постійно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змінюються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залежно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віку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та умов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вирощування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Формуються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мороз</w:t>
      </w:r>
      <w:proofErr w:type="gramStart"/>
      <w:r w:rsidRPr="00BB01C2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BB01C2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зимостійкість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рослин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восени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загартування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Загартування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відбувається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дві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фази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: за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температури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вдень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близько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8-10</w:t>
      </w:r>
      <w:proofErr w:type="gramStart"/>
      <w:r w:rsidRPr="00BB01C2">
        <w:rPr>
          <w:rFonts w:ascii="Times New Roman" w:hAnsi="Times New Roman" w:cs="Times New Roman"/>
          <w:sz w:val="28"/>
          <w:szCs w:val="28"/>
        </w:rPr>
        <w:t xml:space="preserve"> °С</w:t>
      </w:r>
      <w:proofErr w:type="gramEnd"/>
      <w:r w:rsidRPr="00BB01C2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вночі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нуля до 4 °С; за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середньої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температури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нуля до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мінус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5 °С.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Тривалість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проходження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першої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другої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фаз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загартування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становить 20–25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днів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Проте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навіть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добре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загартовані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рослини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(при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вчасному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висіванні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добірного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насіння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в добре </w:t>
      </w:r>
      <w:proofErr w:type="spellStart"/>
      <w:proofErr w:type="gramStart"/>
      <w:r w:rsidRPr="00BB01C2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BB01C2">
        <w:rPr>
          <w:rFonts w:ascii="Times New Roman" w:hAnsi="Times New Roman" w:cs="Times New Roman"/>
          <w:sz w:val="28"/>
          <w:szCs w:val="28"/>
        </w:rPr>
        <w:t>ідготовлений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ґрунт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внесенні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потрібних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добрив) не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забезпечують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100 %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гарантії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вимерзання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переході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температури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через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критичний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поріг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вимерзання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proofErr w:type="gramStart"/>
      <w:r w:rsidRPr="00BB01C2">
        <w:rPr>
          <w:rFonts w:ascii="Times New Roman" w:hAnsi="Times New Roman" w:cs="Times New Roman"/>
          <w:sz w:val="28"/>
          <w:szCs w:val="28"/>
        </w:rPr>
        <w:t>Акіншин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>, 2018).</w:t>
      </w:r>
      <w:proofErr w:type="gram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Більшість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сортів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пшениці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озимої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районованих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Україні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відносно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B01C2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Pr="00BB01C2">
        <w:rPr>
          <w:rFonts w:ascii="Times New Roman" w:hAnsi="Times New Roman" w:cs="Times New Roman"/>
          <w:sz w:val="28"/>
          <w:szCs w:val="28"/>
        </w:rPr>
        <w:t>ійкі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проти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понижених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температур в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осінній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, зимовий та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ранньовесняний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періоди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. При доброму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загартуванні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восени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вони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витримують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зниження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температури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глибині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вузла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кущення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до 15–18</w:t>
      </w:r>
      <w:proofErr w:type="gramStart"/>
      <w:r w:rsidRPr="00BB01C2">
        <w:rPr>
          <w:rFonts w:ascii="Times New Roman" w:hAnsi="Times New Roman" w:cs="Times New Roman"/>
          <w:sz w:val="28"/>
          <w:szCs w:val="28"/>
        </w:rPr>
        <w:t xml:space="preserve"> °С</w:t>
      </w:r>
      <w:proofErr w:type="gramEnd"/>
      <w:r w:rsidRPr="00BB01C2">
        <w:rPr>
          <w:rFonts w:ascii="Times New Roman" w:hAnsi="Times New Roman" w:cs="Times New Roman"/>
          <w:sz w:val="28"/>
          <w:szCs w:val="28"/>
        </w:rPr>
        <w:t xml:space="preserve"> морозу, а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деякі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з них –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навіть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мінус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19–20 °С. Зимовий і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ранньовесняний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періоди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вирішальні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озимини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Бовкун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, 2017). Причини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ушкодження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загибелі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цей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період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різні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. Вони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бути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викликані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осінньою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посухою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недостатнім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загартуванням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пізніх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посіві</w:t>
      </w:r>
      <w:proofErr w:type="gramStart"/>
      <w:r w:rsidRPr="00BB01C2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Pr="00BB01C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низькими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температурами в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малосніжні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зими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різким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коливаннями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температури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н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априкінці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зими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і початку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весни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занадто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глибоким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сніговим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покривом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довго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тане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навесні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накопиченням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поверхні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посіву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води,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крижаними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кірками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випиранням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розриванням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кореневої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вузлів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кущення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важких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ґрунтах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механічними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пошкодженнями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B01C2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BB01C2">
        <w:rPr>
          <w:rFonts w:ascii="Times New Roman" w:hAnsi="Times New Roman" w:cs="Times New Roman"/>
          <w:sz w:val="28"/>
          <w:szCs w:val="28"/>
        </w:rPr>
        <w:t>ід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час догляду за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рослинами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, хворобами та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іншими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причинами (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Волинець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, 2019).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Одержання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високої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польової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схожості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одне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найважливіших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завдань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агротехніки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оскільки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неї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залежить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подальший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догляд за </w:t>
      </w:r>
      <w:proofErr w:type="spellStart"/>
      <w:proofErr w:type="gramStart"/>
      <w:r w:rsidRPr="00BB01C2">
        <w:rPr>
          <w:rFonts w:ascii="Times New Roman" w:hAnsi="Times New Roman" w:cs="Times New Roman"/>
          <w:sz w:val="28"/>
          <w:szCs w:val="28"/>
        </w:rPr>
        <w:t>пос</w:t>
      </w:r>
      <w:proofErr w:type="gramEnd"/>
      <w:r w:rsidRPr="00BB01C2">
        <w:rPr>
          <w:rFonts w:ascii="Times New Roman" w:hAnsi="Times New Roman" w:cs="Times New Roman"/>
          <w:sz w:val="28"/>
          <w:szCs w:val="28"/>
        </w:rPr>
        <w:t>івами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рівень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майбутнього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врожаю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. При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вирощуванні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зернових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ресурсозберігаючою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lastRenderedPageBreak/>
        <w:t>технологією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польова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B01C2">
        <w:rPr>
          <w:rFonts w:ascii="Times New Roman" w:hAnsi="Times New Roman" w:cs="Times New Roman"/>
          <w:sz w:val="28"/>
          <w:szCs w:val="28"/>
        </w:rPr>
        <w:t>схожість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повинна</w:t>
      </w:r>
      <w:proofErr w:type="gram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становити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80-90%,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тоді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як у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господарствах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згідно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статистичними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даними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, вона не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перевищує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60–70% (Данилов, 2018).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Аналіз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даних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показав,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сорти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, як </w:t>
      </w:r>
      <w:proofErr w:type="spellStart"/>
      <w:proofErr w:type="gramStart"/>
      <w:r w:rsidRPr="00BB01C2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BB01C2">
        <w:rPr>
          <w:rFonts w:ascii="Times New Roman" w:hAnsi="Times New Roman" w:cs="Times New Roman"/>
          <w:sz w:val="28"/>
          <w:szCs w:val="28"/>
        </w:rPr>
        <w:t>ізні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генотипи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неоднаково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реагували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умови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вирощування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складалися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різних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строків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126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сівби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. Сорт Нота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характеризується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найбільшою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польовою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схожістю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всіх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строків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сівби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(78,9–84,9%),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вище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на 5,7–6,6%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порівняно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з сортом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Кубус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Зміщення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строків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сівби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бік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B01C2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BB01C2">
        <w:rPr>
          <w:rFonts w:ascii="Times New Roman" w:hAnsi="Times New Roman" w:cs="Times New Roman"/>
          <w:sz w:val="28"/>
          <w:szCs w:val="28"/>
        </w:rPr>
        <w:t>ізніх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супроводжується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зниженням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польової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схожості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. У сорту Нота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ця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різниця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становила 5,3%,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Ужинок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– 1,7%,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Кубус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– 2,6%, Ареал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Ювілейний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2,5%.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Диференціацію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польової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схожості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залежно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строків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сівби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обумовило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відповідне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зниження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суми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активних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температур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раннього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proofErr w:type="gramStart"/>
      <w:r w:rsidRPr="00BB01C2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BB01C2">
        <w:rPr>
          <w:rFonts w:ascii="Times New Roman" w:hAnsi="Times New Roman" w:cs="Times New Roman"/>
          <w:sz w:val="28"/>
          <w:szCs w:val="28"/>
        </w:rPr>
        <w:t>ізнього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строку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сівби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. У наших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спостереженнях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зимостійкість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сортів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всіх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строках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сівби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була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висока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– 75,6–84,2%. У сорту Нота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кількість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рослин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перезимували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, в </w:t>
      </w:r>
      <w:proofErr w:type="spellStart"/>
      <w:proofErr w:type="gramStart"/>
      <w:r w:rsidRPr="00BB01C2">
        <w:rPr>
          <w:rFonts w:ascii="Times New Roman" w:hAnsi="Times New Roman" w:cs="Times New Roman"/>
          <w:sz w:val="28"/>
          <w:szCs w:val="28"/>
        </w:rPr>
        <w:t>пос</w:t>
      </w:r>
      <w:proofErr w:type="gramEnd"/>
      <w:r w:rsidRPr="00BB01C2">
        <w:rPr>
          <w:rFonts w:ascii="Times New Roman" w:hAnsi="Times New Roman" w:cs="Times New Roman"/>
          <w:sz w:val="28"/>
          <w:szCs w:val="28"/>
        </w:rPr>
        <w:t>івах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5, 15, 25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вересня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склала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84,2%; 83,8%; 81,7%. На 4,5–7,0% вона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була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нижче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у сорту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Кубус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. Головна мета в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догляді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proofErr w:type="gramStart"/>
      <w:r w:rsidRPr="00BB01C2">
        <w:rPr>
          <w:rFonts w:ascii="Times New Roman" w:hAnsi="Times New Roman" w:cs="Times New Roman"/>
          <w:sz w:val="28"/>
          <w:szCs w:val="28"/>
        </w:rPr>
        <w:t>пос</w:t>
      </w:r>
      <w:proofErr w:type="gramEnd"/>
      <w:r w:rsidRPr="00BB01C2">
        <w:rPr>
          <w:rFonts w:ascii="Times New Roman" w:hAnsi="Times New Roman" w:cs="Times New Roman"/>
          <w:sz w:val="28"/>
          <w:szCs w:val="28"/>
        </w:rPr>
        <w:t>івами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пшениці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озимої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протягом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вегетаційного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періоду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забезпечення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оптимальних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умов для росту й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розвиткурослин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сприяння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найповнішому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використанню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агрокліматичних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ресурсів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накопичення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врожаю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Жеребецький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, 2019). </w:t>
      </w:r>
      <w:proofErr w:type="gramStart"/>
      <w:r w:rsidRPr="00BB01C2">
        <w:rPr>
          <w:rFonts w:ascii="Times New Roman" w:hAnsi="Times New Roman" w:cs="Times New Roman"/>
          <w:sz w:val="28"/>
          <w:szCs w:val="28"/>
        </w:rPr>
        <w:t xml:space="preserve">У систему догляду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входять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обробка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пестицидами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проти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хвороб,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шкідників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бур’янів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. При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обробітку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гербіцидами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в фазу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кущення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пшениці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– не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відмічався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негативний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вплив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врожайність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якість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зерна і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найбільш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ефективно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(на 92–93%)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вплинув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знищення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бур’янів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Хлібна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попелиця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окремі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роки, особливо з теплою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осінню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>, наносить</w:t>
      </w:r>
      <w:proofErr w:type="gram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суттєві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пошкодження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B01C2">
        <w:rPr>
          <w:rFonts w:ascii="Times New Roman" w:hAnsi="Times New Roman" w:cs="Times New Roman"/>
          <w:sz w:val="28"/>
          <w:szCs w:val="28"/>
        </w:rPr>
        <w:t>пос</w:t>
      </w:r>
      <w:proofErr w:type="gramEnd"/>
      <w:r w:rsidRPr="00BB01C2">
        <w:rPr>
          <w:rFonts w:ascii="Times New Roman" w:hAnsi="Times New Roman" w:cs="Times New Roman"/>
          <w:sz w:val="28"/>
          <w:szCs w:val="28"/>
        </w:rPr>
        <w:t>івам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пшениці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озимої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личинки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об’їдають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молоді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листки, в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місцях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масового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скуплення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рослини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гинуть. Жуки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хлібної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попелиці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в фазу молочного стану і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воскової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стиглості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зерна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живляться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насінням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пшениці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Гессенська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муха при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масовому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розповсюдженні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наносить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значні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збитки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врожаю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B01C2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BB01C2">
        <w:rPr>
          <w:rFonts w:ascii="Times New Roman" w:hAnsi="Times New Roman" w:cs="Times New Roman"/>
          <w:sz w:val="28"/>
          <w:szCs w:val="28"/>
        </w:rPr>
        <w:t>ізньому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лише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окремі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стебла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. В них </w:t>
      </w:r>
      <w:proofErr w:type="spellStart"/>
      <w:proofErr w:type="gramStart"/>
      <w:r w:rsidRPr="00BB01C2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BB01C2">
        <w:rPr>
          <w:rFonts w:ascii="Times New Roman" w:hAnsi="Times New Roman" w:cs="Times New Roman"/>
          <w:sz w:val="28"/>
          <w:szCs w:val="28"/>
        </w:rPr>
        <w:t>ізко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зменшується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маса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зерна. Клоп-черепашка –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найбільш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небезпечний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шкідник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посіві</w:t>
      </w:r>
      <w:proofErr w:type="gramStart"/>
      <w:r w:rsidRPr="00BB01C2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пшениці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озимої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шкодочинність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подвійна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Він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знижує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тільки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урожай зерна, а і в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значній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мі</w:t>
      </w:r>
      <w:proofErr w:type="gramStart"/>
      <w:r w:rsidRPr="00BB01C2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BB01C2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якість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. В них </w:t>
      </w:r>
      <w:proofErr w:type="spellStart"/>
      <w:proofErr w:type="gramStart"/>
      <w:r w:rsidRPr="00BB01C2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BB01C2">
        <w:rPr>
          <w:rFonts w:ascii="Times New Roman" w:hAnsi="Times New Roman" w:cs="Times New Roman"/>
          <w:sz w:val="28"/>
          <w:szCs w:val="28"/>
        </w:rPr>
        <w:t>ізко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зменшується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маса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зерна. В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слині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клопа-черепашки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міститься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B01C2">
        <w:rPr>
          <w:rFonts w:ascii="Times New Roman" w:hAnsi="Times New Roman" w:cs="Times New Roman"/>
          <w:sz w:val="28"/>
          <w:szCs w:val="28"/>
        </w:rPr>
        <w:t>велика</w:t>
      </w:r>
      <w:proofErr w:type="gram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кількість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високоактивних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протеолітичних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ферментів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розчиняють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білки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клейковини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. При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наявності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5%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пошкоджених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черепашкою зерен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маса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стає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повністю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непридатною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хлібопечення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Ферменти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слини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клопа-черепашки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переносяться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соками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рослин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пошкодженого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proofErr w:type="gramStart"/>
      <w:r w:rsidRPr="00BB01C2">
        <w:rPr>
          <w:rFonts w:ascii="Times New Roman" w:hAnsi="Times New Roman" w:cs="Times New Roman"/>
          <w:sz w:val="28"/>
          <w:szCs w:val="28"/>
        </w:rPr>
        <w:t>здоров</w:t>
      </w:r>
      <w:proofErr w:type="gramEnd"/>
      <w:r w:rsidRPr="00BB01C2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зерна. Вони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продовжують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функціонувати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навіть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борошні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B01C2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B01C2">
        <w:rPr>
          <w:rFonts w:ascii="Times New Roman" w:hAnsi="Times New Roman" w:cs="Times New Roman"/>
          <w:sz w:val="28"/>
          <w:szCs w:val="28"/>
        </w:rPr>
        <w:t>зам</w:t>
      </w:r>
      <w:proofErr w:type="gramEnd"/>
      <w:r w:rsidRPr="00BB01C2">
        <w:rPr>
          <w:rFonts w:ascii="Times New Roman" w:hAnsi="Times New Roman" w:cs="Times New Roman"/>
          <w:sz w:val="28"/>
          <w:szCs w:val="28"/>
        </w:rPr>
        <w:t>ішуванні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тіста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Проти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цих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злісних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шкідників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застосовували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препарати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: Гаучо Плюс,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Децис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f-Люкс,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Енжіо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BB01C2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BB01C2">
        <w:rPr>
          <w:rFonts w:ascii="Times New Roman" w:hAnsi="Times New Roman" w:cs="Times New Roman"/>
          <w:sz w:val="28"/>
          <w:szCs w:val="28"/>
        </w:rPr>
        <w:t xml:space="preserve"> хвороб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найбільш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були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розповсюджені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на полях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пшениці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озимої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сажка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(тверда та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пильна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іржа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жовта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і бура),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борошниста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роса,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фузаріоз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lastRenderedPageBreak/>
        <w:t>коренева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гниль.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Основним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способом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боротьби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проти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цих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патогенів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якісне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передпосівне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протруєння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насіння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препаратом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Ламардор</w:t>
      </w:r>
      <w:proofErr w:type="spellEnd"/>
      <w:proofErr w:type="gramStart"/>
      <w:r w:rsidRPr="00BB01C2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Pr="00BB01C2">
        <w:rPr>
          <w:rFonts w:ascii="Times New Roman" w:hAnsi="Times New Roman" w:cs="Times New Roman"/>
          <w:sz w:val="28"/>
          <w:szCs w:val="28"/>
        </w:rPr>
        <w:t xml:space="preserve">ро. А </w:t>
      </w:r>
      <w:proofErr w:type="gramStart"/>
      <w:r w:rsidRPr="00BB01C2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період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вегетації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обприскування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рослин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препаратами: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Медісон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Вареон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520.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Резуьтати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B01C2"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 w:rsidRPr="00BB01C2">
        <w:rPr>
          <w:rFonts w:ascii="Times New Roman" w:hAnsi="Times New Roman" w:cs="Times New Roman"/>
          <w:sz w:val="28"/>
          <w:szCs w:val="28"/>
        </w:rPr>
        <w:t>іджень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свідчать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сортові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властивості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менше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впливати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врожайність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пшениці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озимої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ніж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такий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важливий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агротехнічний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прийом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, як строки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сівби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. За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своїми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сортовими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властивостями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всі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сорти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вирощують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господарстві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мають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практично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однаковий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генетичний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потенціал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винятком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реакції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на строки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сівби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. У 2021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році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найбільшою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127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врожайністю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характеризувався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сорт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Ужинок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. У 2022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році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найбільшою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врожайністю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характеризувався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сорт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Ужинок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майже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однакову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з ним величину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мав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сорт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Кубус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Найвищою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врожайністю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характеризувався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сорт Нота. </w:t>
      </w:r>
      <w:proofErr w:type="gramStart"/>
      <w:r w:rsidRPr="00BB01C2">
        <w:rPr>
          <w:rFonts w:ascii="Times New Roman" w:hAnsi="Times New Roman" w:cs="Times New Roman"/>
          <w:sz w:val="28"/>
          <w:szCs w:val="28"/>
        </w:rPr>
        <w:t xml:space="preserve">У 2021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році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врожайність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сортів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були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практично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однакові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вийнятком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сорту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Кубус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мав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врожайність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на 6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центнерів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нищу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решти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сортів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. У 2022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році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найбільшу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реакцію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на строк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сівби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показав сорт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Кубус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врожаєм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65,5 ц/га, при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терміні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висіву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15.09,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близько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наблизився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і сорт Нота з</w:t>
      </w:r>
      <w:proofErr w:type="gram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врожайністю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63,5 ц/га.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Отже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перезимівля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однією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найважливіших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агрономічних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проблем у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виробництві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зерна, яку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потрібно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завжди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враховувати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, а тому для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володіння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інформацією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життєздатність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рослин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певному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регіоні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необхідно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проводити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постійний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контроль за станом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зимі</w:t>
      </w:r>
      <w:proofErr w:type="gramStart"/>
      <w:r w:rsidRPr="00BB01C2">
        <w:rPr>
          <w:rFonts w:ascii="Times New Roman" w:hAnsi="Times New Roman" w:cs="Times New Roman"/>
          <w:sz w:val="28"/>
          <w:szCs w:val="28"/>
        </w:rPr>
        <w:t>вл</w:t>
      </w:r>
      <w:proofErr w:type="gramEnd"/>
      <w:r w:rsidRPr="00BB01C2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озимих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культур.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Основним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методом контролю є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відбі</w:t>
      </w:r>
      <w:proofErr w:type="gramStart"/>
      <w:r w:rsidRPr="00BB01C2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BB01C2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посівах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монолітів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, у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яких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відростання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рослин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визначають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життєздатність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Моноліти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відбирають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протягом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зими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менше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трьох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разів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(у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січні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BB01C2">
        <w:rPr>
          <w:rFonts w:ascii="Times New Roman" w:hAnsi="Times New Roman" w:cs="Times New Roman"/>
          <w:sz w:val="28"/>
          <w:szCs w:val="28"/>
        </w:rPr>
        <w:t>лютому</w:t>
      </w:r>
      <w:proofErr w:type="gramEnd"/>
      <w:r w:rsidRPr="00BB01C2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березні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взимку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виникають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сильні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тривалі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відлиги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навпаки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сильні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морози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моноліти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відбирають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додатково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Література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1.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Акіншин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В. Г. (2018).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Агрономічний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потенціал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перспективи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пшениці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озимої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. Физиология растений и генетика. Том. 49, № 4. С. 98–115. 2.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Бовкун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І. В. (2017).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формування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продуктивності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пшениці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озимої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регіоні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Полісся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Агропромислове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виробництво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Полісся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Вип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. 10. С. 44–49. 3.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Волинець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І. І. (2019).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Генетичні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кореляції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врожайності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пшениці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озимої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селекційними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індексами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стресових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умовах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середовища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Селекція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насінництво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. № 5. С. 34–37. 4. Гук. В. В. (2019). Прояви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модифікаційної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здатності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генотипів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тритикале </w:t>
      </w:r>
      <w:proofErr w:type="gramStart"/>
      <w:r w:rsidRPr="00BB01C2">
        <w:rPr>
          <w:rFonts w:ascii="Times New Roman" w:hAnsi="Times New Roman" w:cs="Times New Roman"/>
          <w:sz w:val="28"/>
          <w:szCs w:val="28"/>
        </w:rPr>
        <w:t>озимого</w:t>
      </w:r>
      <w:proofErr w:type="gram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лісостепового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поліського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екотипів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Селекція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насінництво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Вип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. 109. С. 78–89. 5. Данилов Г. О. (2018).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Фіксація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B01C2">
        <w:rPr>
          <w:rFonts w:ascii="Times New Roman" w:hAnsi="Times New Roman" w:cs="Times New Roman"/>
          <w:sz w:val="28"/>
          <w:szCs w:val="28"/>
        </w:rPr>
        <w:t>молекулярного</w:t>
      </w:r>
      <w:proofErr w:type="gramEnd"/>
      <w:r w:rsidRPr="00BB01C2">
        <w:rPr>
          <w:rFonts w:ascii="Times New Roman" w:hAnsi="Times New Roman" w:cs="Times New Roman"/>
          <w:sz w:val="28"/>
          <w:szCs w:val="28"/>
        </w:rPr>
        <w:t xml:space="preserve"> азоту у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кореневій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зоні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перспективних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вітчизняних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сортів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пшениці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озимої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Сільськогосподарська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мікробіологія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Вип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. 14. С. 183–194. 6.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Жеребецький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Є. Р. (2019).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Формування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адаптивних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біоценетичних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зв’язків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фітоценозах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тритикале </w:t>
      </w:r>
      <w:proofErr w:type="gramStart"/>
      <w:r w:rsidRPr="00BB01C2">
        <w:rPr>
          <w:rFonts w:ascii="Times New Roman" w:hAnsi="Times New Roman" w:cs="Times New Roman"/>
          <w:sz w:val="28"/>
          <w:szCs w:val="28"/>
        </w:rPr>
        <w:t>озимого</w:t>
      </w:r>
      <w:proofErr w:type="gramEnd"/>
      <w:r w:rsidRPr="00BB01C2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умовах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лісостепового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полісько-лісостепового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екотипів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Сортовивчення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охорона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прав на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сорти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1C2">
        <w:rPr>
          <w:rFonts w:ascii="Times New Roman" w:hAnsi="Times New Roman" w:cs="Times New Roman"/>
          <w:sz w:val="28"/>
          <w:szCs w:val="28"/>
        </w:rPr>
        <w:t>рослин</w:t>
      </w:r>
      <w:proofErr w:type="spellEnd"/>
      <w:r w:rsidRPr="00BB01C2">
        <w:rPr>
          <w:rFonts w:ascii="Times New Roman" w:hAnsi="Times New Roman" w:cs="Times New Roman"/>
          <w:sz w:val="28"/>
          <w:szCs w:val="28"/>
        </w:rPr>
        <w:t>. № 4–6. С. 56–62.</w:t>
      </w:r>
    </w:p>
    <w:sectPr w:rsidR="00C45515" w:rsidRPr="00BB01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7342"/>
    <w:rsid w:val="00BB01C2"/>
    <w:rsid w:val="00C45515"/>
    <w:rsid w:val="00FA7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B01C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B01C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1200</Words>
  <Characters>6841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2023-10-26T19:03:00Z</dcterms:created>
  <dcterms:modified xsi:type="dcterms:W3CDTF">2023-10-26T19:03:00Z</dcterms:modified>
</cp:coreProperties>
</file>