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D0130" w:rsidRPr="00A4234C" w:rsidRDefault="0074156C" w:rsidP="00A4234C">
      <w:pPr>
        <w:spacing w:after="0" w:line="240" w:lineRule="auto"/>
        <w:jc w:val="center"/>
        <w:rPr>
          <w:rFonts w:ascii="Times New Roman" w:hAnsi="Times New Roman" w:cs="Times New Roman"/>
          <w:b/>
          <w:caps/>
          <w:sz w:val="28"/>
          <w:szCs w:val="28"/>
          <w:lang w:val="uk-UA"/>
        </w:rPr>
      </w:pPr>
      <w:r>
        <w:rPr>
          <w:rFonts w:ascii="Times New Roman" w:hAnsi="Times New Roman" w:cs="Times New Roman"/>
          <w:b/>
          <w:caps/>
          <w:sz w:val="28"/>
          <w:szCs w:val="28"/>
          <w:lang w:val="uk-UA"/>
        </w:rPr>
        <w:t xml:space="preserve"> проводили облік</w:t>
      </w:r>
      <w:r w:rsidR="00A4234C" w:rsidRPr="00A4234C">
        <w:rPr>
          <w:rFonts w:ascii="Times New Roman" w:hAnsi="Times New Roman" w:cs="Times New Roman"/>
          <w:b/>
          <w:caps/>
          <w:sz w:val="28"/>
          <w:szCs w:val="28"/>
          <w:lang w:val="uk-UA"/>
        </w:rPr>
        <w:t>Активність біологічних процесів в рослинах і формування продуктивності ярого ячменю в залежності від вирощування його на фоні різних норм висіву підпокривної культури – еспарцету</w:t>
      </w:r>
    </w:p>
    <w:p w:rsidR="00A4234C" w:rsidRPr="00A4234C" w:rsidRDefault="00A4234C" w:rsidP="00A4234C">
      <w:pPr>
        <w:spacing w:after="0" w:line="240" w:lineRule="auto"/>
        <w:jc w:val="center"/>
        <w:rPr>
          <w:rFonts w:ascii="Times New Roman" w:hAnsi="Times New Roman" w:cs="Times New Roman"/>
          <w:b/>
          <w:caps/>
          <w:sz w:val="28"/>
          <w:szCs w:val="28"/>
          <w:lang w:val="uk-UA"/>
        </w:rPr>
      </w:pPr>
    </w:p>
    <w:p w:rsidR="00A4234C" w:rsidRPr="00A4234C" w:rsidRDefault="00A4234C" w:rsidP="00A4234C">
      <w:pPr>
        <w:spacing w:after="0" w:line="240" w:lineRule="auto"/>
        <w:jc w:val="right"/>
        <w:rPr>
          <w:rFonts w:ascii="Times New Roman" w:hAnsi="Times New Roman" w:cs="Times New Roman"/>
          <w:b/>
          <w:caps/>
          <w:sz w:val="28"/>
          <w:szCs w:val="28"/>
          <w:lang w:val="uk-UA"/>
        </w:rPr>
      </w:pPr>
      <w:r w:rsidRPr="00A4234C">
        <w:rPr>
          <w:rFonts w:ascii="Times New Roman" w:hAnsi="Times New Roman" w:cs="Times New Roman"/>
          <w:b/>
          <w:caps/>
          <w:sz w:val="28"/>
          <w:szCs w:val="28"/>
          <w:lang w:val="uk-UA"/>
        </w:rPr>
        <w:t>Грицаєнко З.М.,</w:t>
      </w:r>
    </w:p>
    <w:p w:rsidR="00A4234C" w:rsidRPr="00A4234C" w:rsidRDefault="00A4234C" w:rsidP="00A4234C">
      <w:pPr>
        <w:spacing w:after="0" w:line="240" w:lineRule="auto"/>
        <w:jc w:val="right"/>
        <w:rPr>
          <w:rFonts w:ascii="Times New Roman" w:hAnsi="Times New Roman" w:cs="Times New Roman"/>
          <w:b/>
          <w:sz w:val="28"/>
          <w:szCs w:val="28"/>
          <w:lang w:val="uk-UA"/>
        </w:rPr>
      </w:pPr>
      <w:r w:rsidRPr="00A4234C">
        <w:rPr>
          <w:rFonts w:ascii="Times New Roman" w:hAnsi="Times New Roman" w:cs="Times New Roman"/>
          <w:b/>
          <w:sz w:val="28"/>
          <w:szCs w:val="28"/>
          <w:lang w:val="uk-UA"/>
        </w:rPr>
        <w:t>доктор с.-г. наук, проф.,</w:t>
      </w:r>
    </w:p>
    <w:p w:rsidR="00A4234C" w:rsidRPr="00A4234C" w:rsidRDefault="00A4234C" w:rsidP="00A4234C">
      <w:pPr>
        <w:spacing w:after="0" w:line="240" w:lineRule="auto"/>
        <w:jc w:val="right"/>
        <w:rPr>
          <w:rFonts w:ascii="Times New Roman" w:hAnsi="Times New Roman" w:cs="Times New Roman"/>
          <w:b/>
          <w:caps/>
          <w:sz w:val="28"/>
          <w:szCs w:val="28"/>
          <w:lang w:val="uk-UA"/>
        </w:rPr>
      </w:pPr>
      <w:r w:rsidRPr="00A4234C">
        <w:rPr>
          <w:rFonts w:ascii="Times New Roman" w:hAnsi="Times New Roman" w:cs="Times New Roman"/>
          <w:b/>
          <w:caps/>
          <w:sz w:val="28"/>
          <w:szCs w:val="28"/>
          <w:lang w:val="uk-UA"/>
        </w:rPr>
        <w:t>Смілянець В.П.</w:t>
      </w:r>
    </w:p>
    <w:p w:rsidR="00A4234C" w:rsidRDefault="00A4234C" w:rsidP="00A4234C">
      <w:pPr>
        <w:spacing w:after="0" w:line="240" w:lineRule="auto"/>
        <w:jc w:val="right"/>
        <w:rPr>
          <w:rFonts w:ascii="Times New Roman" w:hAnsi="Times New Roman" w:cs="Times New Roman"/>
          <w:b/>
          <w:sz w:val="28"/>
          <w:szCs w:val="28"/>
          <w:lang w:val="uk-UA"/>
        </w:rPr>
      </w:pPr>
      <w:r w:rsidRPr="00A4234C">
        <w:rPr>
          <w:rFonts w:ascii="Times New Roman" w:hAnsi="Times New Roman" w:cs="Times New Roman"/>
          <w:b/>
          <w:sz w:val="28"/>
          <w:szCs w:val="28"/>
          <w:lang w:val="uk-UA"/>
        </w:rPr>
        <w:t>аспірант</w:t>
      </w:r>
    </w:p>
    <w:p w:rsidR="00A4234C" w:rsidRDefault="00A4234C" w:rsidP="00A4234C">
      <w:pPr>
        <w:spacing w:after="0" w:line="240" w:lineRule="auto"/>
        <w:jc w:val="right"/>
        <w:rPr>
          <w:rFonts w:ascii="Times New Roman" w:hAnsi="Times New Roman" w:cs="Times New Roman"/>
          <w:b/>
          <w:sz w:val="28"/>
          <w:szCs w:val="28"/>
          <w:lang w:val="uk-UA"/>
        </w:rPr>
      </w:pPr>
    </w:p>
    <w:p w:rsidR="00A4234C" w:rsidRDefault="00A4234C" w:rsidP="00A4234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Одним з важливих агротехнічних заходів боротьби з бур'янами</w:t>
      </w:r>
      <w:r w:rsidR="008E1F56">
        <w:rPr>
          <w:rFonts w:ascii="Times New Roman" w:hAnsi="Times New Roman" w:cs="Times New Roman"/>
          <w:sz w:val="28"/>
          <w:szCs w:val="28"/>
          <w:lang w:val="uk-UA"/>
        </w:rPr>
        <w:t xml:space="preserve"> є підбір попередника і норм його висіву. Багаторічні бобові трави є одним з кращих попередників під озиму пшеницю, але оскільки вони висіваються як підпокривна культура під ярий ячмінь, після перезимівлі можуть бути зрідженими, що призводить до забур'яненості </w:t>
      </w:r>
      <w:r w:rsidR="007C57C0">
        <w:rPr>
          <w:rFonts w:ascii="Times New Roman" w:hAnsi="Times New Roman" w:cs="Times New Roman"/>
          <w:sz w:val="28"/>
          <w:szCs w:val="28"/>
          <w:lang w:val="uk-UA"/>
        </w:rPr>
        <w:t>культури, а це в свою чергу веде до забур'яненості озимої пшениці. Виходячи з цього, нами була поставлена задача вивчити ефективність еспарцету, як попередника під озиму пшеницю при різних нормах його висіву, під покривом ярого ячменю. Вивчали вплив різних норм висіву еспарцету на забур'яненість посівів, фізіологічні процеси і продуктивність ярого ячменю.</w:t>
      </w:r>
    </w:p>
    <w:p w:rsidR="007C57C0" w:rsidRDefault="007C57C0" w:rsidP="00A4234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Досліди закладали за схемою: 1. Ячмінь з підсівом еспарцету 5 млн. га; 2.Ячмінь з підсівом еспарцету 10 млн. га.</w:t>
      </w:r>
    </w:p>
    <w:p w:rsidR="007C57C0" w:rsidRDefault="007C57C0" w:rsidP="00A4234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Досліди проводили на протязі 1994–1995 років в умовах дослідного поля  УСГІ в сівозміні кафедри рослинництва. Розмір дослідних ділянок 100 м</w:t>
      </w:r>
      <w:r>
        <w:rPr>
          <w:rFonts w:ascii="Times New Roman" w:hAnsi="Times New Roman" w:cs="Times New Roman"/>
          <w:sz w:val="28"/>
          <w:szCs w:val="28"/>
          <w:vertAlign w:val="superscript"/>
          <w:lang w:val="uk-UA"/>
        </w:rPr>
        <w:t>2</w:t>
      </w:r>
      <w:r>
        <w:rPr>
          <w:rFonts w:ascii="Times New Roman" w:hAnsi="Times New Roman" w:cs="Times New Roman"/>
          <w:sz w:val="28"/>
          <w:szCs w:val="28"/>
          <w:lang w:val="uk-UA"/>
        </w:rPr>
        <w:t>, повторність – триразова. Ґрунти – чорноземи опідзолені важко суглинкові, вміст гумусу – 3,4%.</w:t>
      </w:r>
    </w:p>
    <w:p w:rsidR="007C57C0" w:rsidRDefault="007C57C0" w:rsidP="00A4234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Ячмінь висівали з нормою висіву 5 млн. га. На протязі вегетації першого та другого років </w:t>
      </w:r>
      <w:r w:rsidR="0074156C">
        <w:rPr>
          <w:rFonts w:ascii="Times New Roman" w:hAnsi="Times New Roman" w:cs="Times New Roman"/>
          <w:sz w:val="28"/>
          <w:szCs w:val="28"/>
          <w:lang w:val="uk-UA"/>
        </w:rPr>
        <w:t>проводили облік бур'янів, підраховували густоту посівів еспарцету і ячменю, визначали вміст води</w:t>
      </w:r>
      <w:r w:rsidR="00552870">
        <w:rPr>
          <w:rFonts w:ascii="Times New Roman" w:hAnsi="Times New Roman" w:cs="Times New Roman"/>
          <w:sz w:val="28"/>
          <w:szCs w:val="28"/>
          <w:lang w:val="uk-UA"/>
        </w:rPr>
        <w:t xml:space="preserve"> і сухої речовини, концентрацію хлорофілу, площу листової поверхні на гектарі, чисту продуктивність фотосинтезу, врожайність і натуру зерна, масу 1000 зерен ячменю, за загально прийнятими методиками.</w:t>
      </w:r>
    </w:p>
    <w:p w:rsidR="00552870" w:rsidRDefault="00552870" w:rsidP="00A4234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 результаті проведених досліджень нами встановлено, що густота рослин ячменю складала 361,3</w:t>
      </w:r>
      <w:r w:rsidR="00174B9C">
        <w:rPr>
          <w:rFonts w:ascii="Times New Roman" w:hAnsi="Times New Roman" w:cs="Times New Roman"/>
          <w:sz w:val="28"/>
          <w:szCs w:val="28"/>
          <w:lang w:val="uk-UA"/>
        </w:rPr>
        <w:t xml:space="preserve"> шт. /м</w:t>
      </w:r>
      <w:r w:rsidR="00174B9C">
        <w:rPr>
          <w:rFonts w:ascii="Times New Roman" w:hAnsi="Times New Roman" w:cs="Times New Roman"/>
          <w:sz w:val="28"/>
          <w:szCs w:val="28"/>
          <w:vertAlign w:val="superscript"/>
          <w:lang w:val="uk-UA"/>
        </w:rPr>
        <w:t>2</w:t>
      </w:r>
      <w:r w:rsidR="00174B9C">
        <w:rPr>
          <w:rFonts w:ascii="Times New Roman" w:hAnsi="Times New Roman" w:cs="Times New Roman"/>
          <w:sz w:val="28"/>
          <w:szCs w:val="28"/>
          <w:lang w:val="uk-UA"/>
        </w:rPr>
        <w:t xml:space="preserve"> і еспарцету 301,3 шт. /м</w:t>
      </w:r>
      <w:r w:rsidR="00174B9C">
        <w:rPr>
          <w:rFonts w:ascii="Times New Roman" w:hAnsi="Times New Roman" w:cs="Times New Roman"/>
          <w:sz w:val="28"/>
          <w:szCs w:val="28"/>
          <w:vertAlign w:val="superscript"/>
          <w:lang w:val="uk-UA"/>
        </w:rPr>
        <w:t xml:space="preserve">2 </w:t>
      </w:r>
      <w:r w:rsidR="00174B9C">
        <w:rPr>
          <w:rFonts w:ascii="Times New Roman" w:hAnsi="Times New Roman" w:cs="Times New Roman"/>
          <w:sz w:val="28"/>
          <w:szCs w:val="28"/>
          <w:lang w:val="uk-UA"/>
        </w:rPr>
        <w:t xml:space="preserve"> при нормі висіву еспарцету 5 млн. /га, при нормі 10 млн. / га еспарцету – 370,6 шт. /м</w:t>
      </w:r>
      <w:r w:rsidR="00174B9C">
        <w:rPr>
          <w:rFonts w:ascii="Times New Roman" w:hAnsi="Times New Roman" w:cs="Times New Roman"/>
          <w:sz w:val="28"/>
          <w:szCs w:val="28"/>
          <w:vertAlign w:val="superscript"/>
          <w:lang w:val="uk-UA"/>
        </w:rPr>
        <w:t>2</w:t>
      </w:r>
    </w:p>
    <w:p w:rsidR="00174B9C" w:rsidRDefault="00174B9C" w:rsidP="00174B9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і 454,2 шт. /м</w:t>
      </w:r>
      <w:r>
        <w:rPr>
          <w:rFonts w:ascii="Times New Roman" w:hAnsi="Times New Roman" w:cs="Times New Roman"/>
          <w:sz w:val="28"/>
          <w:szCs w:val="28"/>
          <w:vertAlign w:val="superscript"/>
          <w:lang w:val="uk-UA"/>
        </w:rPr>
        <w:t>2</w:t>
      </w:r>
      <w:r>
        <w:rPr>
          <w:rFonts w:ascii="Times New Roman" w:hAnsi="Times New Roman" w:cs="Times New Roman"/>
          <w:sz w:val="28"/>
          <w:szCs w:val="28"/>
          <w:lang w:val="uk-UA"/>
        </w:rPr>
        <w:t xml:space="preserve"> відповідно. Тобто еспарцет у другому варіанті досліду на 51,3% по кількості рослин перевищував перший. При нормі висіву еспарцету 5 млн. га кількість бур'янів в червні складала 469,4</w:t>
      </w:r>
      <w:r w:rsidRPr="00174B9C">
        <w:rPr>
          <w:rFonts w:ascii="Times New Roman" w:hAnsi="Times New Roman" w:cs="Times New Roman"/>
          <w:sz w:val="28"/>
          <w:szCs w:val="28"/>
          <w:lang w:val="uk-UA"/>
        </w:rPr>
        <w:t xml:space="preserve"> </w:t>
      </w:r>
      <w:r>
        <w:rPr>
          <w:rFonts w:ascii="Times New Roman" w:hAnsi="Times New Roman" w:cs="Times New Roman"/>
          <w:sz w:val="28"/>
          <w:szCs w:val="28"/>
          <w:lang w:val="uk-UA"/>
        </w:rPr>
        <w:t>шт. /м</w:t>
      </w:r>
      <w:r>
        <w:rPr>
          <w:rFonts w:ascii="Times New Roman" w:hAnsi="Times New Roman" w:cs="Times New Roman"/>
          <w:sz w:val="28"/>
          <w:szCs w:val="28"/>
          <w:vertAlign w:val="superscript"/>
          <w:lang w:val="uk-UA"/>
        </w:rPr>
        <w:t>2</w:t>
      </w:r>
      <w:r>
        <w:rPr>
          <w:rFonts w:ascii="Times New Roman" w:hAnsi="Times New Roman" w:cs="Times New Roman"/>
          <w:sz w:val="28"/>
          <w:szCs w:val="28"/>
          <w:lang w:val="uk-UA"/>
        </w:rPr>
        <w:t xml:space="preserve"> масою 291,8 г, а при нормі 10 млн. /га – відповідно 359,4 шт. /м</w:t>
      </w:r>
      <w:r>
        <w:rPr>
          <w:rFonts w:ascii="Times New Roman" w:hAnsi="Times New Roman" w:cs="Times New Roman"/>
          <w:sz w:val="28"/>
          <w:szCs w:val="28"/>
          <w:vertAlign w:val="superscript"/>
          <w:lang w:val="uk-UA"/>
        </w:rPr>
        <w:t>2</w:t>
      </w:r>
      <w:r w:rsidR="00C45984">
        <w:rPr>
          <w:rFonts w:ascii="Times New Roman" w:hAnsi="Times New Roman" w:cs="Times New Roman"/>
          <w:sz w:val="28"/>
          <w:szCs w:val="28"/>
          <w:lang w:val="uk-UA"/>
        </w:rPr>
        <w:t xml:space="preserve"> і 190,0 г.</w:t>
      </w:r>
    </w:p>
    <w:p w:rsidR="00C45984" w:rsidRDefault="00C45984" w:rsidP="00C45984">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Перед збиранням врожаю ячменю загальна кількість бур'янів  у першому варіанті досліду складала 352,6 шт./м</w:t>
      </w:r>
      <w:r>
        <w:rPr>
          <w:rFonts w:ascii="Times New Roman" w:hAnsi="Times New Roman" w:cs="Times New Roman"/>
          <w:sz w:val="28"/>
          <w:szCs w:val="28"/>
          <w:vertAlign w:val="superscript"/>
          <w:lang w:val="uk-UA"/>
        </w:rPr>
        <w:t>2</w:t>
      </w:r>
      <w:r>
        <w:rPr>
          <w:rFonts w:ascii="Times New Roman" w:hAnsi="Times New Roman" w:cs="Times New Roman"/>
          <w:sz w:val="28"/>
          <w:szCs w:val="28"/>
          <w:lang w:val="uk-UA"/>
        </w:rPr>
        <w:t xml:space="preserve"> масою в 1162,2 г, тоді як у другому 627,7 шт. /м</w:t>
      </w:r>
      <w:r>
        <w:rPr>
          <w:rFonts w:ascii="Times New Roman" w:hAnsi="Times New Roman" w:cs="Times New Roman"/>
          <w:sz w:val="28"/>
          <w:szCs w:val="28"/>
          <w:vertAlign w:val="superscript"/>
          <w:lang w:val="uk-UA"/>
        </w:rPr>
        <w:t>2</w:t>
      </w:r>
      <w:r>
        <w:rPr>
          <w:rFonts w:ascii="Times New Roman" w:hAnsi="Times New Roman" w:cs="Times New Roman"/>
          <w:sz w:val="28"/>
          <w:szCs w:val="28"/>
          <w:lang w:val="uk-UA"/>
        </w:rPr>
        <w:t xml:space="preserve"> масою в 824,9 г. Незначна перевага кількості бур'янів у другому варіанті досліду виявився рахунок проростання мишію на цьому полі.</w:t>
      </w:r>
    </w:p>
    <w:p w:rsidR="00C45984" w:rsidRDefault="00C45984" w:rsidP="00C45984">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 обліку бур'янів весною 1995 року в посівах еспарцету 1994 року встановлено, що в другому варіанті вони складали 74% по кількості і 85% по масі в порівнянні </w:t>
      </w:r>
      <w:r w:rsidR="00F85B55">
        <w:rPr>
          <w:rFonts w:ascii="Times New Roman" w:hAnsi="Times New Roman" w:cs="Times New Roman"/>
          <w:sz w:val="28"/>
          <w:szCs w:val="28"/>
          <w:lang w:val="uk-UA"/>
        </w:rPr>
        <w:t>з першим варіантом. Звідси слідує, що норма висіву еспарцету 10 млн./га сприяє зменшенню  кількості бур'янів і їх маси.</w:t>
      </w:r>
    </w:p>
    <w:p w:rsidR="00F85B55" w:rsidRPr="00C45984" w:rsidRDefault="00F85B55" w:rsidP="00C45984">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Різні норми висіву еспарцету майже не впливали на висоту рослин, вміст води і сухої речовини в листках і стеблах ячменю. В другому варіанті дещо вищим був вміст хлорофілу в листках і чиста продуктивність фотосинтезу. Норми висіву еспарцету не виявили істотних змін в формуванні врожайності, натури зерна, маси 1000 зерен ярого ячменю. Облік врожаю еспарцету в період бутонізації показав, що в другому варіанті врожай зеленої маси був на 55,8% вищий ніж в першому</w:t>
      </w:r>
      <w:r w:rsidR="00AD3AE0">
        <w:rPr>
          <w:rFonts w:ascii="Times New Roman" w:hAnsi="Times New Roman" w:cs="Times New Roman"/>
          <w:sz w:val="28"/>
          <w:szCs w:val="28"/>
          <w:lang w:val="uk-UA"/>
        </w:rPr>
        <w:t>.</w:t>
      </w:r>
    </w:p>
    <w:sectPr w:rsidR="00F85B55" w:rsidRPr="00C45984" w:rsidSect="00910710">
      <w:pgSz w:w="11906" w:h="16838" w:code="9"/>
      <w:pgMar w:top="1134" w:right="850" w:bottom="1134" w:left="1701"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drawingGridHorizontalSpacing w:val="110"/>
  <w:displayHorizontalDrawingGridEvery w:val="2"/>
  <w:displayVerticalDrawingGridEvery w:val="2"/>
  <w:characterSpacingControl w:val="doNotCompress"/>
  <w:compat/>
  <w:rsids>
    <w:rsidRoot w:val="00A4234C"/>
    <w:rsid w:val="0008131E"/>
    <w:rsid w:val="00174B9C"/>
    <w:rsid w:val="001D0130"/>
    <w:rsid w:val="003B462B"/>
    <w:rsid w:val="00450131"/>
    <w:rsid w:val="00552870"/>
    <w:rsid w:val="0061451D"/>
    <w:rsid w:val="0074156C"/>
    <w:rsid w:val="007C57C0"/>
    <w:rsid w:val="00816804"/>
    <w:rsid w:val="008E1F56"/>
    <w:rsid w:val="00910710"/>
    <w:rsid w:val="00A4234C"/>
    <w:rsid w:val="00AD3AE0"/>
    <w:rsid w:val="00B36E68"/>
    <w:rsid w:val="00B42C2E"/>
    <w:rsid w:val="00C45984"/>
    <w:rsid w:val="00D10C92"/>
    <w:rsid w:val="00D71191"/>
    <w:rsid w:val="00F85B55"/>
    <w:rsid w:val="00FC181C"/>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B462B"/>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110</TotalTime>
  <Pages>1</Pages>
  <Words>478</Words>
  <Characters>2731</Characters>
  <Application>Microsoft Office Word</Application>
  <DocSecurity>0</DocSecurity>
  <Lines>22</Lines>
  <Paragraphs>6</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3203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5</cp:revision>
  <dcterms:created xsi:type="dcterms:W3CDTF">2016-05-26T13:25:00Z</dcterms:created>
  <dcterms:modified xsi:type="dcterms:W3CDTF">2016-05-27T07:15:00Z</dcterms:modified>
</cp:coreProperties>
</file>