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2DD6" w:rsidRPr="004F2DD6" w:rsidRDefault="004F2DD6" w:rsidP="004F2DD6">
      <w:pPr>
        <w:ind w:firstLine="567"/>
        <w:jc w:val="right"/>
        <w:rPr>
          <w:rFonts w:ascii="Book Antiqua" w:hAnsi="Book Antiqua"/>
          <w:b/>
          <w:i/>
          <w:sz w:val="26"/>
          <w:szCs w:val="26"/>
        </w:rPr>
      </w:pPr>
      <w:r w:rsidRPr="004F2DD6">
        <w:rPr>
          <w:rFonts w:ascii="Book Antiqua" w:hAnsi="Book Antiqua"/>
          <w:b/>
          <w:i/>
          <w:sz w:val="26"/>
          <w:szCs w:val="26"/>
        </w:rPr>
        <w:t>Удовенко І.О.,</w:t>
      </w:r>
    </w:p>
    <w:p w:rsidR="004F2DD6" w:rsidRPr="004F2DD6" w:rsidRDefault="004F2DD6" w:rsidP="004F2DD6">
      <w:pPr>
        <w:ind w:firstLine="567"/>
        <w:jc w:val="right"/>
        <w:rPr>
          <w:rFonts w:ascii="Book Antiqua" w:hAnsi="Book Antiqua"/>
          <w:i/>
          <w:sz w:val="26"/>
          <w:szCs w:val="26"/>
        </w:rPr>
      </w:pPr>
      <w:r w:rsidRPr="004F2DD6">
        <w:rPr>
          <w:rFonts w:ascii="Book Antiqua" w:hAnsi="Book Antiqua"/>
          <w:i/>
          <w:sz w:val="26"/>
          <w:szCs w:val="26"/>
        </w:rPr>
        <w:t xml:space="preserve"> к.е.н., доцент</w:t>
      </w:r>
    </w:p>
    <w:p w:rsidR="004F2DD6" w:rsidRPr="004F2DD6" w:rsidRDefault="004F2DD6" w:rsidP="004F2DD6">
      <w:pPr>
        <w:ind w:firstLine="567"/>
        <w:jc w:val="right"/>
        <w:rPr>
          <w:rFonts w:ascii="Book Antiqua" w:hAnsi="Book Antiqua"/>
          <w:i/>
          <w:sz w:val="26"/>
          <w:szCs w:val="26"/>
        </w:rPr>
      </w:pPr>
      <w:r w:rsidRPr="004F2DD6">
        <w:rPr>
          <w:rFonts w:ascii="Book Antiqua" w:hAnsi="Book Antiqua"/>
          <w:i/>
          <w:sz w:val="26"/>
          <w:szCs w:val="26"/>
        </w:rPr>
        <w:t>Уманський національний університет садівництва</w:t>
      </w:r>
    </w:p>
    <w:p w:rsidR="004F2DD6" w:rsidRDefault="004F2DD6" w:rsidP="00471012">
      <w:pPr>
        <w:ind w:firstLine="567"/>
        <w:jc w:val="both"/>
        <w:rPr>
          <w:rFonts w:ascii="Book Antiqua" w:hAnsi="Book Antiqua"/>
          <w:sz w:val="26"/>
          <w:szCs w:val="26"/>
        </w:rPr>
      </w:pPr>
    </w:p>
    <w:p w:rsidR="000D3BE0" w:rsidRPr="004F2DD6" w:rsidRDefault="00471012" w:rsidP="004F2DD6">
      <w:pPr>
        <w:ind w:firstLine="567"/>
        <w:jc w:val="center"/>
        <w:rPr>
          <w:rFonts w:ascii="Book Antiqua" w:hAnsi="Book Antiqua"/>
          <w:b/>
          <w:sz w:val="26"/>
          <w:szCs w:val="26"/>
        </w:rPr>
      </w:pPr>
      <w:r w:rsidRPr="004F2DD6">
        <w:rPr>
          <w:rFonts w:ascii="Book Antiqua" w:hAnsi="Book Antiqua"/>
          <w:b/>
          <w:sz w:val="26"/>
          <w:szCs w:val="26"/>
        </w:rPr>
        <w:t>СІЛЬСЬКИЙ ЗЕЛЕНИЙ ТУРИЗМ ЯК ПРОЯВ ВИКОРИСТАНЯ ПРИРОДНОГО ПОТЕНЦІАЛУ РЕГІОНУ</w:t>
      </w:r>
    </w:p>
    <w:p w:rsidR="00471012" w:rsidRPr="00471012" w:rsidRDefault="00471012" w:rsidP="00471012">
      <w:pPr>
        <w:ind w:firstLine="567"/>
        <w:jc w:val="both"/>
        <w:rPr>
          <w:rFonts w:ascii="Book Antiqua" w:hAnsi="Book Antiqua"/>
          <w:sz w:val="26"/>
          <w:szCs w:val="26"/>
        </w:rPr>
      </w:pPr>
      <w:r w:rsidRPr="00471012">
        <w:rPr>
          <w:rFonts w:ascii="Book Antiqua" w:hAnsi="Book Antiqua"/>
          <w:sz w:val="26"/>
          <w:szCs w:val="26"/>
        </w:rPr>
        <w:t>Сільський туризм виступає важливим чинником стабільного динамічного збільшення надходжень до бюджету, активізації</w:t>
      </w:r>
      <w:bookmarkStart w:id="0" w:name="_GoBack"/>
      <w:bookmarkEnd w:id="0"/>
      <w:r w:rsidRPr="00471012">
        <w:rPr>
          <w:rFonts w:ascii="Book Antiqua" w:hAnsi="Book Antiqua"/>
          <w:sz w:val="26"/>
          <w:szCs w:val="26"/>
        </w:rPr>
        <w:t xml:space="preserve"> розвитку багатьох галузей економіки (транспорт, торгівля, зв'язок, будівництво, сільське господарство тощо).</w:t>
      </w:r>
    </w:p>
    <w:p w:rsidR="00471012" w:rsidRDefault="000D3BE0" w:rsidP="00471012">
      <w:pPr>
        <w:ind w:firstLine="567"/>
        <w:jc w:val="both"/>
        <w:rPr>
          <w:rFonts w:ascii="Book Antiqua" w:hAnsi="Book Antiqua"/>
          <w:color w:val="000000"/>
          <w:sz w:val="26"/>
          <w:szCs w:val="26"/>
          <w:shd w:val="clear" w:color="auto" w:fill="FFFFFF"/>
        </w:rPr>
      </w:pPr>
      <w:r w:rsidRPr="00471012">
        <w:rPr>
          <w:rFonts w:ascii="Book Antiqua" w:hAnsi="Book Antiqua"/>
          <w:sz w:val="26"/>
          <w:szCs w:val="26"/>
        </w:rPr>
        <w:t>Сільський зелений туризм на початку XXI ст. – один із найперспективніших видів відпочинку у Карпатському, Поліському, Подільському, Наддніпрянському регіонах. Для сільських мешканців України цей вид туризму є найкращим стимулом для започаткування й розвитку підприємницької діяльності, що дає додаткові прибутки та підвищує рівень зайнятості членів сільських роди</w:t>
      </w:r>
      <w:r w:rsidRPr="00471012">
        <w:rPr>
          <w:rFonts w:ascii="Book Antiqua" w:hAnsi="Book Antiqua"/>
          <w:sz w:val="26"/>
          <w:szCs w:val="26"/>
        </w:rPr>
        <w:t>н</w:t>
      </w:r>
      <w:r w:rsidR="00471012">
        <w:rPr>
          <w:rFonts w:ascii="Book Antiqua" w:hAnsi="Book Antiqua"/>
          <w:sz w:val="26"/>
          <w:szCs w:val="26"/>
        </w:rPr>
        <w:t>[</w:t>
      </w:r>
      <w:r w:rsidR="00471012" w:rsidRPr="00471012">
        <w:rPr>
          <w:rFonts w:ascii="Book Antiqua" w:hAnsi="Book Antiqua"/>
          <w:sz w:val="26"/>
          <w:szCs w:val="26"/>
        </w:rPr>
        <w:t>1</w:t>
      </w:r>
      <w:r w:rsidR="00471012">
        <w:rPr>
          <w:rFonts w:ascii="Book Antiqua" w:hAnsi="Book Antiqua"/>
          <w:sz w:val="26"/>
          <w:szCs w:val="26"/>
        </w:rPr>
        <w:t>]</w:t>
      </w:r>
      <w:r w:rsidRPr="00471012">
        <w:rPr>
          <w:rFonts w:ascii="Book Antiqua" w:hAnsi="Book Antiqua"/>
          <w:sz w:val="26"/>
          <w:szCs w:val="26"/>
        </w:rPr>
        <w:t>.</w:t>
      </w:r>
      <w:r w:rsidRPr="00471012">
        <w:rPr>
          <w:rFonts w:ascii="Book Antiqua" w:hAnsi="Book Antiqua"/>
          <w:color w:val="000000"/>
          <w:sz w:val="26"/>
          <w:szCs w:val="26"/>
          <w:shd w:val="clear" w:color="auto" w:fill="FFFFFF"/>
        </w:rPr>
        <w:t xml:space="preserve"> </w:t>
      </w:r>
    </w:p>
    <w:p w:rsidR="00471012" w:rsidRPr="00471012" w:rsidRDefault="00471012" w:rsidP="00471012">
      <w:pPr>
        <w:ind w:firstLine="567"/>
        <w:jc w:val="both"/>
        <w:rPr>
          <w:rFonts w:ascii="Book Antiqua" w:hAnsi="Book Antiqua"/>
          <w:sz w:val="26"/>
          <w:szCs w:val="26"/>
        </w:rPr>
      </w:pPr>
      <w:r w:rsidRPr="00471012">
        <w:rPr>
          <w:rFonts w:ascii="Book Antiqua" w:hAnsi="Book Antiqua"/>
          <w:sz w:val="26"/>
          <w:szCs w:val="26"/>
        </w:rPr>
        <w:t>Сільський зелений туризм, як і сфера послуг у цілому, – вразливий сектор господарської діяльності. Сільський туризм можна розглядати як додатковий щодо основної сільськогосподарської діяльності, тобто вид підприємницької діяльності, який дає селянам певні додаткові доходи, а також є способом підвищення зайнятості членів сільських родин</w:t>
      </w:r>
    </w:p>
    <w:p w:rsidR="000D3BE0" w:rsidRPr="00471012" w:rsidRDefault="000D3BE0" w:rsidP="00471012">
      <w:pPr>
        <w:ind w:firstLine="567"/>
        <w:jc w:val="both"/>
        <w:rPr>
          <w:rFonts w:ascii="Book Antiqua" w:hAnsi="Book Antiqua"/>
          <w:sz w:val="26"/>
          <w:szCs w:val="26"/>
        </w:rPr>
      </w:pPr>
      <w:r w:rsidRPr="00471012">
        <w:rPr>
          <w:rFonts w:ascii="Book Antiqua" w:hAnsi="Book Antiqua"/>
          <w:sz w:val="26"/>
          <w:szCs w:val="26"/>
        </w:rPr>
        <w:t xml:space="preserve">Українське село має надзвичайно багату історико-архітектурну спадщину, культуру, самобутній побут, даровані природою мальовничі ландшафти, а також лікувально-рекреаційні ресурси. Наші села багаті індивідуальним житловим фондом та добрими і працьовитими людьми. Водночас гострою проблемою багатьох сіл є зростаючий надлишок робочої сили. </w:t>
      </w:r>
    </w:p>
    <w:p w:rsidR="00471012" w:rsidRDefault="000D3BE0" w:rsidP="00471012">
      <w:pPr>
        <w:ind w:firstLine="567"/>
        <w:jc w:val="both"/>
        <w:rPr>
          <w:rFonts w:ascii="Book Antiqua" w:hAnsi="Book Antiqua"/>
          <w:sz w:val="26"/>
          <w:szCs w:val="26"/>
        </w:rPr>
      </w:pPr>
      <w:r w:rsidRPr="00471012">
        <w:rPr>
          <w:rFonts w:ascii="Book Antiqua" w:hAnsi="Book Antiqua"/>
          <w:sz w:val="26"/>
          <w:szCs w:val="26"/>
        </w:rPr>
        <w:t xml:space="preserve">Для українського села </w:t>
      </w:r>
      <w:r w:rsidR="00471012">
        <w:rPr>
          <w:rFonts w:ascii="Book Antiqua" w:hAnsi="Book Antiqua"/>
          <w:sz w:val="26"/>
          <w:szCs w:val="26"/>
        </w:rPr>
        <w:t xml:space="preserve">– </w:t>
      </w:r>
      <w:r w:rsidRPr="00471012">
        <w:rPr>
          <w:rFonts w:ascii="Book Antiqua" w:hAnsi="Book Antiqua"/>
          <w:sz w:val="26"/>
          <w:szCs w:val="26"/>
        </w:rPr>
        <w:t xml:space="preserve">це ще один спосіб залучення надлишкової робочої сили, яка вивільнилася з сільськогосподарського виробництва. Оскільки, відомо, що малі підприємницькі структури в аграрному секторі економіки України функціонують на принципах самоокупності, самозабезпечення, самостійності у виборі напрямів діяльності і повної відповідальності за результати діяльності. Тому сільський туризм можна вважати одним з перспективних напрямків розвитку підприємництва в сільській місцевості. </w:t>
      </w:r>
    </w:p>
    <w:p w:rsidR="000D3BE0" w:rsidRPr="00471012" w:rsidRDefault="00471012" w:rsidP="00471012">
      <w:pPr>
        <w:ind w:firstLine="567"/>
        <w:jc w:val="both"/>
        <w:rPr>
          <w:rFonts w:ascii="Book Antiqua" w:hAnsi="Book Antiqua"/>
          <w:sz w:val="26"/>
          <w:szCs w:val="26"/>
        </w:rPr>
      </w:pPr>
      <w:r w:rsidRPr="00471012">
        <w:rPr>
          <w:rFonts w:ascii="Book Antiqua" w:hAnsi="Book Antiqua"/>
          <w:sz w:val="26"/>
          <w:szCs w:val="26"/>
        </w:rPr>
        <w:t>В Україні існують усі передумови розвитку відпочинку в селі, який можна розглядати як специфічну форму підсобної господарської діяльності у сільському середовищі з використанням природного та культурного потенціалу регіону, або як форму малого підприємництва, що дає можливість певною мірою вирішити проблему зайнятості сільського населення, покращити його добробут, повніше використати природний та історико-культурний потенціал сільської місцевості.</w:t>
      </w:r>
    </w:p>
    <w:p w:rsidR="000D3BE0" w:rsidRPr="00471012" w:rsidRDefault="000D3BE0" w:rsidP="00471012">
      <w:pPr>
        <w:ind w:firstLine="567"/>
        <w:jc w:val="both"/>
        <w:rPr>
          <w:rFonts w:ascii="Book Antiqua" w:hAnsi="Book Antiqua"/>
          <w:sz w:val="26"/>
          <w:szCs w:val="26"/>
        </w:rPr>
      </w:pPr>
      <w:r w:rsidRPr="00471012">
        <w:rPr>
          <w:rFonts w:ascii="Book Antiqua" w:hAnsi="Book Antiqua"/>
          <w:sz w:val="26"/>
          <w:szCs w:val="26"/>
        </w:rPr>
        <w:t xml:space="preserve">Неабиякою проблемою залишається невизначеність правового статусу власників малих рекреаційних комплексів, розташованих у сільській місцевості. </w:t>
      </w:r>
    </w:p>
    <w:p w:rsidR="000D3BE0" w:rsidRPr="00471012" w:rsidRDefault="000D3BE0" w:rsidP="00471012">
      <w:pPr>
        <w:ind w:firstLine="567"/>
        <w:jc w:val="both"/>
        <w:rPr>
          <w:rFonts w:ascii="Book Antiqua" w:hAnsi="Book Antiqua"/>
          <w:sz w:val="26"/>
          <w:szCs w:val="26"/>
        </w:rPr>
      </w:pPr>
      <w:r w:rsidRPr="00471012">
        <w:rPr>
          <w:rFonts w:ascii="Book Antiqua" w:hAnsi="Book Antiqua"/>
          <w:sz w:val="26"/>
          <w:szCs w:val="26"/>
        </w:rPr>
        <w:t xml:space="preserve">Основною організаційною відмінністю сільського туризму є те, що туристичні послуги відвідувачам надають особи різних професій </w:t>
      </w:r>
      <w:r w:rsidRPr="00471012">
        <w:rPr>
          <w:rFonts w:ascii="Book Antiqua" w:hAnsi="Book Antiqua"/>
          <w:sz w:val="26"/>
          <w:szCs w:val="26"/>
        </w:rPr>
        <w:lastRenderedPageBreak/>
        <w:t xml:space="preserve">(сільськогосподарські робітники, працівники сфери побутового обслуговування, вчителі тощо), які постійно проживають у сільський місцевості. </w:t>
      </w:r>
    </w:p>
    <w:p w:rsidR="000D3BE0" w:rsidRPr="00471012" w:rsidRDefault="000D3BE0" w:rsidP="00471012">
      <w:pPr>
        <w:ind w:firstLine="567"/>
        <w:jc w:val="both"/>
        <w:rPr>
          <w:rFonts w:ascii="Book Antiqua" w:hAnsi="Book Antiqua"/>
          <w:sz w:val="26"/>
          <w:szCs w:val="26"/>
        </w:rPr>
      </w:pPr>
      <w:r w:rsidRPr="00471012">
        <w:rPr>
          <w:rFonts w:ascii="Book Antiqua" w:hAnsi="Book Antiqua"/>
          <w:sz w:val="26"/>
          <w:szCs w:val="26"/>
        </w:rPr>
        <w:t>Обслуговуючий персонал інших видів рекреаційного туризму (інструктори, агенти з туризму, покоївки, офіціанти, екскурсоводи тощо) є представниками туристичного сектора господарства і володіють спеціально набутим фахом та кваліфікаційним рівнем.</w:t>
      </w:r>
    </w:p>
    <w:p w:rsidR="000D3BE0" w:rsidRPr="00471012" w:rsidRDefault="000D3BE0" w:rsidP="00471012">
      <w:pPr>
        <w:ind w:firstLine="567"/>
        <w:jc w:val="both"/>
        <w:rPr>
          <w:rFonts w:ascii="Book Antiqua" w:hAnsi="Book Antiqua"/>
          <w:sz w:val="26"/>
          <w:szCs w:val="26"/>
        </w:rPr>
      </w:pPr>
      <w:r w:rsidRPr="00471012">
        <w:rPr>
          <w:rFonts w:ascii="Book Antiqua" w:hAnsi="Book Antiqua"/>
          <w:sz w:val="26"/>
          <w:szCs w:val="26"/>
        </w:rPr>
        <w:t>Сільський зелений туризм тяжіє до форм пасивного (а не активного) відпочинку, за ступенем своєї організованості він є самодіяльним (а не плановим), за метою - скоріше соціальним, а не суто комерційним</w:t>
      </w:r>
      <w:r w:rsidR="004F2DD6" w:rsidRPr="004F2DD6">
        <w:rPr>
          <w:rFonts w:ascii="Book Antiqua" w:hAnsi="Book Antiqua"/>
          <w:sz w:val="26"/>
          <w:szCs w:val="26"/>
          <w:lang w:val="ru-RU"/>
        </w:rPr>
        <w:t>[2]</w:t>
      </w:r>
      <w:r w:rsidRPr="00471012">
        <w:rPr>
          <w:rFonts w:ascii="Book Antiqua" w:hAnsi="Book Antiqua"/>
          <w:sz w:val="26"/>
          <w:szCs w:val="26"/>
        </w:rPr>
        <w:t xml:space="preserve">. </w:t>
      </w:r>
      <w:r w:rsidRPr="00471012">
        <w:rPr>
          <w:rFonts w:ascii="Book Antiqua" w:hAnsi="Book Antiqua"/>
          <w:sz w:val="26"/>
          <w:szCs w:val="26"/>
        </w:rPr>
        <w:t xml:space="preserve">В Україні потрібно законодавчо звільнити садиби від сплати готельного збору та обов'язкової державної стандартизації. Для них можливе запровадження категоризації уповноваженими представниками Спілки сприяння розвитку сільського зеленого туризму або представниками органів місцевого самоврядування. </w:t>
      </w:r>
    </w:p>
    <w:p w:rsidR="000D3BE0" w:rsidRPr="00471012" w:rsidRDefault="000D3BE0" w:rsidP="00471012">
      <w:pPr>
        <w:ind w:firstLine="567"/>
        <w:jc w:val="both"/>
        <w:rPr>
          <w:rFonts w:ascii="Book Antiqua" w:hAnsi="Book Antiqua"/>
          <w:sz w:val="26"/>
          <w:szCs w:val="26"/>
        </w:rPr>
      </w:pPr>
      <w:r w:rsidRPr="00471012">
        <w:rPr>
          <w:rFonts w:ascii="Book Antiqua" w:hAnsi="Book Antiqua"/>
          <w:sz w:val="26"/>
          <w:szCs w:val="26"/>
        </w:rPr>
        <w:t>Справа розвитку сільського відпочинку має реальну державну перспективу і сприяє поліпшенню соціально-економічної ситуації сільської місцевості. Сільський туризм не має шкідливого впливу на навколишнє середовище, на відміну від масового, і у той же час робить істотний внесок у регіональний розвиток. Він дозволяє використовувати існуючий житловий фонд і не вимагає значних інвестиційних витрат.</w:t>
      </w:r>
    </w:p>
    <w:p w:rsidR="00471012" w:rsidRPr="00471012" w:rsidRDefault="000D3BE0" w:rsidP="00471012">
      <w:pPr>
        <w:ind w:firstLine="567"/>
        <w:jc w:val="both"/>
        <w:rPr>
          <w:rFonts w:ascii="Book Antiqua" w:hAnsi="Book Antiqua"/>
          <w:sz w:val="26"/>
          <w:szCs w:val="26"/>
        </w:rPr>
      </w:pPr>
      <w:r w:rsidRPr="00471012">
        <w:rPr>
          <w:rFonts w:ascii="Book Antiqua" w:hAnsi="Book Antiqua"/>
          <w:sz w:val="26"/>
          <w:szCs w:val="26"/>
        </w:rPr>
        <w:t>Таким чином, розвиток сільського зеленого туризму повинен стати об’єктом прискіпливої уваги обласних та районних адміністрацій, привабливим полем діяльності для дієвих і творчих селянських родин. Він вимагає виваженого комплексного наукового підходу, належного маркетингового супроводу, доброго освітнього та інформаційного забезпечення.</w:t>
      </w:r>
      <w:r w:rsidR="00471012" w:rsidRPr="00471012">
        <w:rPr>
          <w:rFonts w:ascii="Book Antiqua" w:hAnsi="Book Antiqua"/>
          <w:sz w:val="26"/>
          <w:szCs w:val="26"/>
        </w:rPr>
        <w:t xml:space="preserve"> </w:t>
      </w:r>
      <w:r w:rsidR="00471012" w:rsidRPr="00471012">
        <w:rPr>
          <w:rFonts w:ascii="Book Antiqua" w:hAnsi="Book Antiqua"/>
          <w:sz w:val="26"/>
          <w:szCs w:val="26"/>
        </w:rPr>
        <w:t xml:space="preserve">Сільський відпочинок в Україні за рахунок збереження етнографічної самобутності повинен набути національного значення. </w:t>
      </w:r>
    </w:p>
    <w:p w:rsidR="000D3BE0" w:rsidRDefault="000D3BE0" w:rsidP="00471012">
      <w:pPr>
        <w:ind w:firstLine="567"/>
        <w:jc w:val="both"/>
        <w:rPr>
          <w:rFonts w:ascii="Book Antiqua" w:hAnsi="Book Antiqua"/>
          <w:sz w:val="26"/>
          <w:szCs w:val="26"/>
        </w:rPr>
      </w:pPr>
    </w:p>
    <w:p w:rsidR="004F2DD6" w:rsidRPr="004F2DD6" w:rsidRDefault="004F2DD6" w:rsidP="004F2DD6">
      <w:pPr>
        <w:ind w:firstLine="567"/>
        <w:jc w:val="center"/>
        <w:rPr>
          <w:rFonts w:ascii="Book Antiqua" w:hAnsi="Book Antiqua"/>
          <w:i/>
          <w:sz w:val="26"/>
          <w:szCs w:val="26"/>
        </w:rPr>
      </w:pPr>
      <w:r w:rsidRPr="004F2DD6">
        <w:rPr>
          <w:rFonts w:ascii="Book Antiqua" w:hAnsi="Book Antiqua"/>
          <w:i/>
          <w:sz w:val="26"/>
          <w:szCs w:val="26"/>
        </w:rPr>
        <w:t>Бібілографічний список:</w:t>
      </w:r>
    </w:p>
    <w:p w:rsidR="00471012" w:rsidRPr="004F2DD6" w:rsidRDefault="00471012" w:rsidP="004F2DD6">
      <w:pPr>
        <w:pStyle w:val="a6"/>
        <w:numPr>
          <w:ilvl w:val="0"/>
          <w:numId w:val="1"/>
        </w:numPr>
        <w:tabs>
          <w:tab w:val="left" w:pos="851"/>
        </w:tabs>
        <w:ind w:left="0" w:firstLine="567"/>
        <w:jc w:val="both"/>
        <w:rPr>
          <w:rFonts w:ascii="Book Antiqua" w:hAnsi="Book Antiqua"/>
          <w:sz w:val="26"/>
          <w:szCs w:val="26"/>
        </w:rPr>
      </w:pPr>
      <w:r w:rsidRPr="004F2DD6">
        <w:rPr>
          <w:rFonts w:ascii="Book Antiqua" w:hAnsi="Book Antiqua"/>
          <w:color w:val="000000"/>
          <w:sz w:val="26"/>
          <w:szCs w:val="26"/>
          <w:shd w:val="clear" w:color="auto" w:fill="FFFFFF"/>
        </w:rPr>
        <w:t>Кравців В. С, Євдокименко В. К., Габрель М. М. та ін. Рекреаційна політика у Карпатському регіоні: принципи формування, шляхи реалізації. - Чернівці: Прут, 1995. - 72 с. – С. 5</w:t>
      </w:r>
      <w:r w:rsidRPr="004F2DD6">
        <w:rPr>
          <w:rFonts w:ascii="Book Antiqua" w:hAnsi="Book Antiqua"/>
          <w:sz w:val="26"/>
          <w:szCs w:val="26"/>
        </w:rPr>
        <w:t xml:space="preserve"> </w:t>
      </w:r>
    </w:p>
    <w:p w:rsidR="004F2DD6" w:rsidRPr="004F2DD6" w:rsidRDefault="004F2DD6" w:rsidP="004F2DD6">
      <w:pPr>
        <w:pStyle w:val="a6"/>
        <w:numPr>
          <w:ilvl w:val="0"/>
          <w:numId w:val="1"/>
        </w:numPr>
        <w:tabs>
          <w:tab w:val="left" w:pos="851"/>
        </w:tabs>
        <w:ind w:left="0" w:firstLine="567"/>
        <w:jc w:val="both"/>
        <w:rPr>
          <w:rFonts w:ascii="Book Antiqua" w:hAnsi="Book Antiqua"/>
          <w:color w:val="000000"/>
          <w:sz w:val="26"/>
          <w:szCs w:val="26"/>
          <w:shd w:val="clear" w:color="auto" w:fill="FFFFFF"/>
        </w:rPr>
      </w:pPr>
      <w:r w:rsidRPr="004F2DD6">
        <w:rPr>
          <w:rFonts w:ascii="Book Antiqua" w:hAnsi="Book Antiqua"/>
          <w:sz w:val="26"/>
          <w:szCs w:val="26"/>
        </w:rPr>
        <w:t>Г</w:t>
      </w:r>
      <w:r w:rsidRPr="004F2DD6">
        <w:rPr>
          <w:rFonts w:ascii="Book Antiqua" w:hAnsi="Book Antiqua"/>
          <w:color w:val="000000"/>
          <w:sz w:val="26"/>
          <w:szCs w:val="26"/>
          <w:shd w:val="clear" w:color="auto" w:fill="FFFFFF"/>
        </w:rPr>
        <w:t>орішевський П. В., Васильєв В. П., Зінько Ю. В. Сільський зелений туризм: організація гостинності на селі: Підручник. - Івано-Франківськ: Місто-Н, 2003. - 158 с. – С. 41</w:t>
      </w:r>
    </w:p>
    <w:p w:rsidR="00471012" w:rsidRPr="00471012" w:rsidRDefault="00471012" w:rsidP="00471012">
      <w:pPr>
        <w:ind w:firstLine="567"/>
        <w:jc w:val="both"/>
        <w:rPr>
          <w:rFonts w:ascii="Book Antiqua" w:hAnsi="Book Antiqua"/>
          <w:sz w:val="26"/>
          <w:szCs w:val="26"/>
        </w:rPr>
      </w:pPr>
    </w:p>
    <w:p w:rsidR="000D3BE0" w:rsidRPr="00471012" w:rsidRDefault="000D3BE0" w:rsidP="00471012">
      <w:pPr>
        <w:ind w:firstLine="567"/>
        <w:jc w:val="both"/>
        <w:rPr>
          <w:rFonts w:ascii="Book Antiqua" w:hAnsi="Book Antiqua"/>
          <w:sz w:val="26"/>
          <w:szCs w:val="26"/>
        </w:rPr>
      </w:pPr>
    </w:p>
    <w:p w:rsidR="000D3BE0" w:rsidRPr="00471012" w:rsidRDefault="000D3BE0" w:rsidP="00471012">
      <w:pPr>
        <w:ind w:firstLine="567"/>
        <w:jc w:val="both"/>
        <w:rPr>
          <w:rFonts w:ascii="Book Antiqua" w:hAnsi="Book Antiqua"/>
          <w:sz w:val="26"/>
          <w:szCs w:val="26"/>
        </w:rPr>
      </w:pPr>
    </w:p>
    <w:p w:rsidR="000D3BE0" w:rsidRPr="00471012" w:rsidRDefault="000D3BE0" w:rsidP="00471012">
      <w:pPr>
        <w:ind w:firstLine="567"/>
        <w:jc w:val="both"/>
        <w:rPr>
          <w:rFonts w:ascii="Book Antiqua" w:hAnsi="Book Antiqua"/>
          <w:sz w:val="26"/>
          <w:szCs w:val="26"/>
        </w:rPr>
      </w:pPr>
    </w:p>
    <w:sectPr w:rsidR="000D3BE0" w:rsidRPr="00471012" w:rsidSect="00471012">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5ECE" w:rsidRDefault="00AD5ECE" w:rsidP="000D3BE0">
      <w:r>
        <w:separator/>
      </w:r>
    </w:p>
  </w:endnote>
  <w:endnote w:type="continuationSeparator" w:id="0">
    <w:p w:rsidR="00AD5ECE" w:rsidRDefault="00AD5ECE" w:rsidP="000D3B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Book Antiqua">
    <w:panose1 w:val="02040602050305030304"/>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5ECE" w:rsidRDefault="00AD5ECE" w:rsidP="000D3BE0">
      <w:r>
        <w:separator/>
      </w:r>
    </w:p>
  </w:footnote>
  <w:footnote w:type="continuationSeparator" w:id="0">
    <w:p w:rsidR="00AD5ECE" w:rsidRDefault="00AD5ECE" w:rsidP="000D3BE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043A1E"/>
    <w:multiLevelType w:val="hybridMultilevel"/>
    <w:tmpl w:val="AA921692"/>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58A5"/>
    <w:rsid w:val="000D3BE0"/>
    <w:rsid w:val="002941CB"/>
    <w:rsid w:val="00471012"/>
    <w:rsid w:val="004F2DD6"/>
    <w:rsid w:val="00AD5ECE"/>
    <w:rsid w:val="00E17311"/>
    <w:rsid w:val="00FD58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87C0C0"/>
  <w15:chartTrackingRefBased/>
  <w15:docId w15:val="{4402AA46-EEFC-4CD3-913B-BD5C82E8B6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D3BE0"/>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0D3BE0"/>
    <w:rPr>
      <w:sz w:val="20"/>
      <w:szCs w:val="20"/>
      <w:lang w:val="ru-RU"/>
    </w:rPr>
  </w:style>
  <w:style w:type="character" w:customStyle="1" w:styleId="a4">
    <w:name w:val="Текст сноски Знак"/>
    <w:basedOn w:val="a0"/>
    <w:link w:val="a3"/>
    <w:uiPriority w:val="99"/>
    <w:semiHidden/>
    <w:rsid w:val="000D3BE0"/>
    <w:rPr>
      <w:rFonts w:ascii="Times New Roman" w:eastAsia="Times New Roman" w:hAnsi="Times New Roman" w:cs="Times New Roman"/>
      <w:sz w:val="20"/>
      <w:szCs w:val="20"/>
      <w:lang w:val="ru-RU" w:eastAsia="ru-RU"/>
    </w:rPr>
  </w:style>
  <w:style w:type="character" w:styleId="a5">
    <w:name w:val="footnote reference"/>
    <w:basedOn w:val="a0"/>
    <w:uiPriority w:val="99"/>
    <w:semiHidden/>
    <w:unhideWhenUsed/>
    <w:rsid w:val="000D3BE0"/>
    <w:rPr>
      <w:vertAlign w:val="superscript"/>
    </w:rPr>
  </w:style>
  <w:style w:type="paragraph" w:styleId="a6">
    <w:name w:val="List Paragraph"/>
    <w:basedOn w:val="a"/>
    <w:uiPriority w:val="34"/>
    <w:qFormat/>
    <w:rsid w:val="004F2DD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2</Pages>
  <Words>710</Words>
  <Characters>4049</Characters>
  <Application>Microsoft Office Word</Application>
  <DocSecurity>0</DocSecurity>
  <Lines>33</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TEST</dc:creator>
  <cp:keywords/>
  <dc:description/>
  <cp:lastModifiedBy>TEST</cp:lastModifiedBy>
  <cp:revision>2</cp:revision>
  <dcterms:created xsi:type="dcterms:W3CDTF">2023-04-20T08:44:00Z</dcterms:created>
  <dcterms:modified xsi:type="dcterms:W3CDTF">2023-04-20T09:07:00Z</dcterms:modified>
</cp:coreProperties>
</file>