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062" w:rsidRDefault="008F3062" w:rsidP="008F3062">
      <w:pPr>
        <w:ind w:firstLine="567"/>
        <w:jc w:val="center"/>
        <w:rPr>
          <w:b/>
          <w:sz w:val="28"/>
          <w:szCs w:val="28"/>
          <w:lang w:eastAsia="en-US"/>
        </w:rPr>
      </w:pPr>
      <w:r>
        <w:rPr>
          <w:b/>
          <w:bCs/>
          <w:sz w:val="28"/>
          <w:lang w:eastAsia="en-US"/>
        </w:rPr>
        <w:t xml:space="preserve">КІЛЬКІСТЬ КОЛОСКІВ У КОЛОСІ </w:t>
      </w:r>
      <w:r>
        <w:rPr>
          <w:b/>
          <w:sz w:val="28"/>
          <w:szCs w:val="28"/>
          <w:lang w:eastAsia="en-US"/>
        </w:rPr>
        <w:t>ГІБРИДНИХ ПОПУЛЯЦІЙ</w:t>
      </w:r>
      <w:r>
        <w:rPr>
          <w:b/>
          <w:sz w:val="28"/>
          <w:szCs w:val="28"/>
          <w:lang w:eastAsia="en-US"/>
        </w:rPr>
        <w:t xml:space="preserve">  </w:t>
      </w:r>
    </w:p>
    <w:p w:rsidR="008F3062" w:rsidRDefault="008F3062" w:rsidP="008F3062">
      <w:pPr>
        <w:ind w:firstLine="567"/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val="en-US" w:eastAsia="en-US"/>
        </w:rPr>
        <w:t>F</w:t>
      </w:r>
      <w:r>
        <w:rPr>
          <w:b/>
          <w:sz w:val="28"/>
          <w:szCs w:val="28"/>
          <w:lang w:eastAsia="en-US"/>
        </w:rPr>
        <w:t xml:space="preserve"> 4 ПШЕНИЦІ ТВЕРДОЇ ЯРОЇ</w:t>
      </w:r>
    </w:p>
    <w:p w:rsidR="008F3062" w:rsidRDefault="008F3062" w:rsidP="008F3062">
      <w:pPr>
        <w:ind w:firstLine="567"/>
        <w:jc w:val="both"/>
        <w:rPr>
          <w:b/>
          <w:bCs/>
          <w:sz w:val="28"/>
          <w:lang w:eastAsia="en-US"/>
        </w:rPr>
      </w:pPr>
      <w:r>
        <w:rPr>
          <w:b/>
          <w:bCs/>
          <w:sz w:val="28"/>
          <w:lang w:eastAsia="en-US"/>
        </w:rPr>
        <w:t xml:space="preserve">Новак Ж.М., канд. </w:t>
      </w:r>
      <w:proofErr w:type="spellStart"/>
      <w:r>
        <w:rPr>
          <w:b/>
          <w:bCs/>
          <w:sz w:val="28"/>
          <w:lang w:eastAsia="en-US"/>
        </w:rPr>
        <w:t>с.-г.наук</w:t>
      </w:r>
      <w:proofErr w:type="spellEnd"/>
      <w:r>
        <w:rPr>
          <w:b/>
          <w:bCs/>
          <w:sz w:val="28"/>
          <w:lang w:eastAsia="en-US"/>
        </w:rPr>
        <w:t>, доцент</w:t>
      </w:r>
    </w:p>
    <w:p w:rsidR="008F3062" w:rsidRDefault="008F3062" w:rsidP="008F3062">
      <w:pPr>
        <w:ind w:firstLine="567"/>
        <w:jc w:val="both"/>
        <w:rPr>
          <w:b/>
          <w:bCs/>
          <w:sz w:val="28"/>
          <w:lang w:eastAsia="en-US"/>
        </w:rPr>
      </w:pPr>
      <w:proofErr w:type="spellStart"/>
      <w:r>
        <w:rPr>
          <w:b/>
          <w:bCs/>
          <w:sz w:val="28"/>
          <w:lang w:eastAsia="en-US"/>
        </w:rPr>
        <w:t>Полянецька</w:t>
      </w:r>
      <w:proofErr w:type="spellEnd"/>
      <w:r>
        <w:rPr>
          <w:b/>
          <w:bCs/>
          <w:sz w:val="28"/>
          <w:lang w:eastAsia="en-US"/>
        </w:rPr>
        <w:t xml:space="preserve"> І.О., </w:t>
      </w:r>
      <w:r>
        <w:rPr>
          <w:b/>
          <w:bCs/>
          <w:sz w:val="28"/>
          <w:lang w:eastAsia="en-US"/>
        </w:rPr>
        <w:t xml:space="preserve">канд. </w:t>
      </w:r>
      <w:proofErr w:type="spellStart"/>
      <w:r>
        <w:rPr>
          <w:b/>
          <w:bCs/>
          <w:sz w:val="28"/>
          <w:lang w:eastAsia="en-US"/>
        </w:rPr>
        <w:t>с.-г.наук</w:t>
      </w:r>
      <w:proofErr w:type="spellEnd"/>
      <w:r>
        <w:rPr>
          <w:b/>
          <w:bCs/>
          <w:sz w:val="28"/>
          <w:lang w:eastAsia="en-US"/>
        </w:rPr>
        <w:t>, доцент</w:t>
      </w:r>
    </w:p>
    <w:p w:rsidR="008F3062" w:rsidRDefault="008F3062" w:rsidP="008F3062">
      <w:pPr>
        <w:tabs>
          <w:tab w:val="left" w:pos="9356"/>
        </w:tabs>
        <w:ind w:firstLine="567"/>
        <w:jc w:val="both"/>
        <w:rPr>
          <w:b/>
          <w:bCs/>
          <w:sz w:val="28"/>
          <w:lang w:eastAsia="en-US"/>
        </w:rPr>
      </w:pPr>
      <w:r>
        <w:rPr>
          <w:b/>
          <w:bCs/>
          <w:sz w:val="28"/>
          <w:lang w:eastAsia="en-US"/>
        </w:rPr>
        <w:t>Новак</w:t>
      </w:r>
      <w:r>
        <w:rPr>
          <w:b/>
          <w:bCs/>
          <w:sz w:val="28"/>
          <w:lang w:eastAsia="en-US"/>
        </w:rPr>
        <w:t xml:space="preserve"> М.А., студентка 14 ас групи</w:t>
      </w:r>
    </w:p>
    <w:p w:rsidR="008F3062" w:rsidRPr="00194146" w:rsidRDefault="00194146" w:rsidP="008F3062">
      <w:pPr>
        <w:tabs>
          <w:tab w:val="left" w:pos="9356"/>
        </w:tabs>
        <w:ind w:firstLine="567"/>
        <w:jc w:val="both"/>
        <w:rPr>
          <w:b/>
          <w:sz w:val="28"/>
          <w:lang w:eastAsia="en-US"/>
        </w:rPr>
      </w:pPr>
      <w:r w:rsidRPr="00194146">
        <w:rPr>
          <w:b/>
          <w:sz w:val="28"/>
          <w:lang w:eastAsia="en-US"/>
        </w:rPr>
        <w:t xml:space="preserve">Уманський національний університет садівництва, м. Умань </w:t>
      </w:r>
    </w:p>
    <w:p w:rsidR="00194146" w:rsidRDefault="00194146" w:rsidP="008F3062">
      <w:pPr>
        <w:tabs>
          <w:tab w:val="left" w:pos="9356"/>
        </w:tabs>
        <w:ind w:firstLine="567"/>
        <w:jc w:val="both"/>
        <w:rPr>
          <w:sz w:val="28"/>
          <w:lang w:eastAsia="en-US"/>
        </w:rPr>
      </w:pPr>
      <w:bookmarkStart w:id="0" w:name="_GoBack"/>
      <w:bookmarkEnd w:id="0"/>
    </w:p>
    <w:p w:rsidR="008F3062" w:rsidRDefault="008F3062" w:rsidP="008F3062">
      <w:pPr>
        <w:tabs>
          <w:tab w:val="left" w:pos="9356"/>
        </w:tabs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Важливим господарсько-цінним показником пшениці є кількість колосків у колосі. Формується від досить рано — під час проходження ІІІ етапу органогенезу. Цей етап припадає у ярої пшениці на квітень, таким чином понижені температури повітря подовжують його. Тому більш триваліший цей період зумовлює утворення більшої кількості колосків. </w:t>
      </w:r>
    </w:p>
    <w:p w:rsidR="008F3062" w:rsidRDefault="008F3062" w:rsidP="008F3062">
      <w:pPr>
        <w:tabs>
          <w:tab w:val="left" w:pos="9356"/>
        </w:tabs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Температурні показники квітня 2020 року були в межах </w:t>
      </w:r>
      <w:proofErr w:type="spellStart"/>
      <w:r>
        <w:rPr>
          <w:sz w:val="28"/>
          <w:lang w:eastAsia="en-US"/>
        </w:rPr>
        <w:t>середньобагаторічного</w:t>
      </w:r>
      <w:proofErr w:type="spellEnd"/>
      <w:r>
        <w:rPr>
          <w:sz w:val="28"/>
          <w:lang w:eastAsia="en-US"/>
        </w:rPr>
        <w:t xml:space="preserve"> показника, тоді як у 2021 – поступались йому. У результаті цього кількість колосків у колосі більшою була у другий рік досліджень.</w:t>
      </w:r>
      <w:r>
        <w:rPr>
          <w:sz w:val="28"/>
          <w:lang w:eastAsia="en-US"/>
        </w:rPr>
        <w:t xml:space="preserve"> </w:t>
      </w:r>
      <w:r>
        <w:rPr>
          <w:sz w:val="28"/>
          <w:lang w:eastAsia="en-US"/>
        </w:rPr>
        <w:t xml:space="preserve">У сорту пшениці твердої ярої </w:t>
      </w:r>
      <w:proofErr w:type="spellStart"/>
      <w:r>
        <w:rPr>
          <w:sz w:val="28"/>
          <w:lang w:eastAsia="en-US"/>
        </w:rPr>
        <w:t>Тера</w:t>
      </w:r>
      <w:proofErr w:type="spellEnd"/>
      <w:r>
        <w:rPr>
          <w:sz w:val="28"/>
          <w:lang w:eastAsia="en-US"/>
        </w:rPr>
        <w:t xml:space="preserve"> кількість колосків у колосі у 2020 році становила 16,2 шт. Проте усі аналізовані гібридні популяції поступались стандарту. Найменшим показник був у селекційного номера 167/21 — 13,8, що було на 15% або 2,4 колоска менше, ніж у сорту </w:t>
      </w:r>
      <w:proofErr w:type="spellStart"/>
      <w:r>
        <w:rPr>
          <w:sz w:val="28"/>
          <w:lang w:eastAsia="en-US"/>
        </w:rPr>
        <w:t>Тера</w:t>
      </w:r>
      <w:proofErr w:type="spellEnd"/>
      <w:r>
        <w:rPr>
          <w:sz w:val="28"/>
          <w:lang w:eastAsia="en-US"/>
        </w:rPr>
        <w:t>. Близькими до цього були дані г</w:t>
      </w:r>
      <w:r>
        <w:rPr>
          <w:sz w:val="28"/>
          <w:szCs w:val="28"/>
          <w:lang w:eastAsia="en-US"/>
        </w:rPr>
        <w:t xml:space="preserve">ібридних популяцій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>4/21 і 168/21 — відповідно 13,9 та 14,0 колосків в одному колосі, що поступалось 2,3 та 2,2 шт. або 14%. Показники г</w:t>
      </w:r>
      <w:r>
        <w:rPr>
          <w:sz w:val="28"/>
          <w:szCs w:val="28"/>
          <w:lang w:eastAsia="en-US"/>
        </w:rPr>
        <w:t xml:space="preserve">ібридних популяцій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3/21 і </w:t>
      </w:r>
      <w:r>
        <w:rPr>
          <w:iCs/>
          <w:sz w:val="28"/>
          <w:lang w:val="ru-RU" w:eastAsia="en-US"/>
        </w:rPr>
        <w:t>166</w:t>
      </w:r>
      <w:r>
        <w:rPr>
          <w:iCs/>
          <w:sz w:val="28"/>
          <w:lang w:eastAsia="en-US"/>
        </w:rPr>
        <w:t xml:space="preserve">/21 становили </w:t>
      </w:r>
      <w:r>
        <w:rPr>
          <w:sz w:val="28"/>
          <w:lang w:eastAsia="en-US"/>
        </w:rPr>
        <w:t xml:space="preserve">відповідно14,4 і 15,7 колосків, що поступалось на 11 та 3% або 1,8 та 0,5 колосків сорту стандарту </w:t>
      </w:r>
      <w:proofErr w:type="spellStart"/>
      <w:r>
        <w:rPr>
          <w:sz w:val="28"/>
          <w:lang w:eastAsia="en-US"/>
        </w:rPr>
        <w:t>Тера</w:t>
      </w:r>
      <w:proofErr w:type="spellEnd"/>
      <w:r>
        <w:rPr>
          <w:sz w:val="28"/>
          <w:lang w:eastAsia="en-US"/>
        </w:rPr>
        <w:t>.</w:t>
      </w:r>
    </w:p>
    <w:p w:rsidR="008F3062" w:rsidRDefault="008F3062" w:rsidP="008F3062">
      <w:pPr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У 2021 році кількість колосків у колосі досліджуваного матеріалу становила 14,8-16,9 шт. Найвищий показник, як і попереднього року, відмічався у сорту пшениці твердої ярої </w:t>
      </w:r>
      <w:proofErr w:type="spellStart"/>
      <w:r>
        <w:rPr>
          <w:sz w:val="28"/>
          <w:lang w:eastAsia="en-US"/>
        </w:rPr>
        <w:t>Тера</w:t>
      </w:r>
      <w:proofErr w:type="spellEnd"/>
      <w:r>
        <w:rPr>
          <w:sz w:val="28"/>
          <w:lang w:eastAsia="en-US"/>
        </w:rPr>
        <w:t xml:space="preserve"> – 16,9. У межах 10 % поступались йому біотипи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3/21 та </w:t>
      </w:r>
      <w:r>
        <w:rPr>
          <w:sz w:val="28"/>
          <w:lang w:val="ru-RU" w:eastAsia="en-US"/>
        </w:rPr>
        <w:t xml:space="preserve">167/21 з </w:t>
      </w:r>
      <w:r>
        <w:rPr>
          <w:sz w:val="28"/>
          <w:lang w:eastAsia="en-US"/>
        </w:rPr>
        <w:t>показниками</w:t>
      </w:r>
      <w:r>
        <w:rPr>
          <w:sz w:val="28"/>
          <w:lang w:val="ru-RU" w:eastAsia="en-US"/>
        </w:rPr>
        <w:t xml:space="preserve"> </w:t>
      </w:r>
      <w:r>
        <w:rPr>
          <w:sz w:val="28"/>
          <w:lang w:eastAsia="en-US"/>
        </w:rPr>
        <w:t xml:space="preserve">відповідно 15,7 та 15,5 колосків в одному колосі. Разом з тим, це було на 1,2 та 1,4 колоска менше, ніж у сорту стандарту. Кількість  колосків у колосі селекційних зразків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4/21, </w:t>
      </w:r>
      <w:r>
        <w:rPr>
          <w:iCs/>
          <w:sz w:val="28"/>
          <w:lang w:val="ru-RU" w:eastAsia="en-US"/>
        </w:rPr>
        <w:t>166</w:t>
      </w:r>
      <w:r>
        <w:rPr>
          <w:iCs/>
          <w:sz w:val="28"/>
          <w:lang w:eastAsia="en-US"/>
        </w:rPr>
        <w:t xml:space="preserve">/21 і </w:t>
      </w:r>
      <w:r>
        <w:rPr>
          <w:sz w:val="28"/>
          <w:lang w:val="ru-RU" w:eastAsia="en-US"/>
        </w:rPr>
        <w:t xml:space="preserve">168/21 </w:t>
      </w:r>
      <w:r>
        <w:rPr>
          <w:sz w:val="28"/>
          <w:lang w:eastAsia="en-US"/>
        </w:rPr>
        <w:t>складала 15,0 та 14,8 шт., що поступалось стандарту  на 11 і 12% або 1,9-2,1 шт.</w:t>
      </w:r>
    </w:p>
    <w:p w:rsidR="008F3062" w:rsidRDefault="008F3062" w:rsidP="008F3062">
      <w:pPr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Дані окремих років відрізнялися на 0,8 - 1,7 колосків у колосі.  У селекційного номера 168/21 спостерігалась найменша різниця між показниками різних років (0,8 шт.), що свідчить про його стабільність за цим показником. Найбільша різниця відмічалась у селекційного номера </w:t>
      </w:r>
      <w:r>
        <w:rPr>
          <w:sz w:val="28"/>
          <w:lang w:val="ru-RU" w:eastAsia="en-US"/>
        </w:rPr>
        <w:t>167/21.</w:t>
      </w:r>
    </w:p>
    <w:p w:rsidR="008F3062" w:rsidRDefault="008F3062" w:rsidP="008F3062">
      <w:pPr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Отже, у середньому за два роки досліджень, у стандарту — сорту пшениці твердої ярої </w:t>
      </w:r>
      <w:proofErr w:type="spellStart"/>
      <w:r>
        <w:rPr>
          <w:sz w:val="28"/>
          <w:lang w:eastAsia="en-US"/>
        </w:rPr>
        <w:t>Тера</w:t>
      </w:r>
      <w:proofErr w:type="spellEnd"/>
      <w:r>
        <w:rPr>
          <w:sz w:val="28"/>
          <w:lang w:eastAsia="en-US"/>
        </w:rPr>
        <w:t xml:space="preserve"> у колосі сформувалося 16,6 колосків. У г</w:t>
      </w:r>
      <w:r>
        <w:rPr>
          <w:sz w:val="28"/>
          <w:szCs w:val="28"/>
          <w:lang w:eastAsia="en-US"/>
        </w:rPr>
        <w:t xml:space="preserve">ібридних популяцій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3/21,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4/21, </w:t>
      </w:r>
      <w:r>
        <w:rPr>
          <w:iCs/>
          <w:sz w:val="28"/>
          <w:lang w:val="ru-RU" w:eastAsia="en-US"/>
        </w:rPr>
        <w:t>166</w:t>
      </w:r>
      <w:r>
        <w:rPr>
          <w:iCs/>
          <w:sz w:val="28"/>
          <w:lang w:eastAsia="en-US"/>
        </w:rPr>
        <w:t xml:space="preserve">/21, </w:t>
      </w:r>
      <w:r>
        <w:rPr>
          <w:sz w:val="28"/>
          <w:lang w:val="ru-RU" w:eastAsia="en-US"/>
        </w:rPr>
        <w:t xml:space="preserve">167/21 і 168/21 </w:t>
      </w:r>
      <w:r>
        <w:rPr>
          <w:sz w:val="28"/>
          <w:lang w:eastAsia="en-US"/>
        </w:rPr>
        <w:t>їх було відповідно ’15,1; 14,5; 15,3; 15,0 і 14,0. Це поступалось даним стандарту на 9; 13; 8; 11 і 13% або 1,5;2,1;1,3; 1,9 та 2,2 колоска.</w:t>
      </w:r>
    </w:p>
    <w:p w:rsidR="008F3062" w:rsidRDefault="008F3062" w:rsidP="008F3062">
      <w:pPr>
        <w:ind w:firstLine="567"/>
        <w:jc w:val="both"/>
        <w:rPr>
          <w:sz w:val="28"/>
          <w:lang w:eastAsia="en-US"/>
        </w:rPr>
      </w:pPr>
      <w:r>
        <w:rPr>
          <w:sz w:val="28"/>
          <w:lang w:eastAsia="en-US"/>
        </w:rPr>
        <w:t xml:space="preserve">Таким чином, різниця не більше ніж 11% відносно стандарту, спостерігалась за кількістю колосків у колосі у популяції </w:t>
      </w:r>
      <w:r>
        <w:rPr>
          <w:sz w:val="28"/>
          <w:lang w:val="ru-RU" w:eastAsia="en-US"/>
        </w:rPr>
        <w:t>16</w:t>
      </w:r>
      <w:r>
        <w:rPr>
          <w:sz w:val="28"/>
          <w:lang w:eastAsia="en-US"/>
        </w:rPr>
        <w:t xml:space="preserve">3/21. </w:t>
      </w:r>
    </w:p>
    <w:p w:rsidR="00A86FD0" w:rsidRDefault="00A86FD0" w:rsidP="008F3062">
      <w:pPr>
        <w:ind w:firstLine="567"/>
      </w:pPr>
    </w:p>
    <w:sectPr w:rsidR="00A86FD0" w:rsidSect="008F306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516"/>
    <w:rsid w:val="00123E21"/>
    <w:rsid w:val="00194146"/>
    <w:rsid w:val="008F3062"/>
    <w:rsid w:val="00984516"/>
    <w:rsid w:val="00A86FD0"/>
    <w:rsid w:val="00EE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0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0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82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394</Words>
  <Characters>2249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3</cp:revision>
  <dcterms:created xsi:type="dcterms:W3CDTF">2021-10-11T08:26:00Z</dcterms:created>
  <dcterms:modified xsi:type="dcterms:W3CDTF">2021-10-11T08:36:00Z</dcterms:modified>
</cp:coreProperties>
</file>