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73A0" w:rsidRDefault="000B2C57" w:rsidP="000B2C5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B2C57">
        <w:rPr>
          <w:rFonts w:ascii="Times New Roman" w:hAnsi="Times New Roman" w:cs="Times New Roman"/>
          <w:b/>
          <w:sz w:val="28"/>
          <w:szCs w:val="28"/>
        </w:rPr>
        <w:t>Розвиток альтернативної енергетики як напрям запобігання глобальної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B2C57">
        <w:rPr>
          <w:rFonts w:ascii="Times New Roman" w:hAnsi="Times New Roman" w:cs="Times New Roman"/>
          <w:b/>
          <w:sz w:val="28"/>
          <w:szCs w:val="28"/>
        </w:rPr>
        <w:t>зміни клімату</w:t>
      </w:r>
    </w:p>
    <w:p w:rsidR="000B2C57" w:rsidRDefault="000B2C57" w:rsidP="000B2C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B2C57">
        <w:rPr>
          <w:rFonts w:ascii="Times New Roman" w:hAnsi="Times New Roman" w:cs="Times New Roman"/>
          <w:sz w:val="28"/>
          <w:szCs w:val="28"/>
        </w:rPr>
        <w:t xml:space="preserve">Способами запобігання глобальної зміни клімату, зменшення викидів вуглекислого газу та скорочення парникового ефекту  є використання альтернативних джерел енергії. </w:t>
      </w:r>
    </w:p>
    <w:p w:rsidR="000B2C57" w:rsidRDefault="000B2C57" w:rsidP="000B2C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B2C57">
        <w:rPr>
          <w:rFonts w:ascii="Times New Roman" w:hAnsi="Times New Roman" w:cs="Times New Roman"/>
          <w:sz w:val="28"/>
          <w:szCs w:val="28"/>
        </w:rPr>
        <w:t xml:space="preserve">За даними Державної служби статистики України, </w:t>
      </w:r>
      <w:r w:rsidR="00B04F6A">
        <w:rPr>
          <w:rFonts w:ascii="Times New Roman" w:hAnsi="Times New Roman" w:cs="Times New Roman"/>
          <w:sz w:val="28"/>
          <w:szCs w:val="28"/>
        </w:rPr>
        <w:t xml:space="preserve">сьогодні </w:t>
      </w:r>
      <w:r w:rsidRPr="000B2C57">
        <w:rPr>
          <w:rFonts w:ascii="Times New Roman" w:hAnsi="Times New Roman" w:cs="Times New Roman"/>
          <w:bCs/>
          <w:sz w:val="28"/>
          <w:szCs w:val="28"/>
        </w:rPr>
        <w:t xml:space="preserve">структура загального первинного постачання енергоресурсів </w:t>
      </w:r>
      <w:r w:rsidRPr="000B2C57">
        <w:rPr>
          <w:rFonts w:ascii="Times New Roman" w:hAnsi="Times New Roman" w:cs="Times New Roman"/>
          <w:sz w:val="28"/>
          <w:szCs w:val="28"/>
        </w:rPr>
        <w:t xml:space="preserve">характеризувалася високою часткою </w:t>
      </w:r>
      <w:r w:rsidRPr="00B04F6A">
        <w:rPr>
          <w:rFonts w:ascii="Times New Roman" w:hAnsi="Times New Roman" w:cs="Times New Roman"/>
          <w:b/>
          <w:sz w:val="28"/>
          <w:szCs w:val="28"/>
        </w:rPr>
        <w:t>природного газу (27,4 %</w:t>
      </w:r>
      <w:r w:rsidRPr="000B2C57">
        <w:rPr>
          <w:rFonts w:ascii="Times New Roman" w:hAnsi="Times New Roman" w:cs="Times New Roman"/>
          <w:sz w:val="28"/>
          <w:szCs w:val="28"/>
        </w:rPr>
        <w:t xml:space="preserve">, 25 млн т н.е.). Частка </w:t>
      </w:r>
      <w:r w:rsidRPr="00B04F6A">
        <w:rPr>
          <w:rFonts w:ascii="Times New Roman" w:hAnsi="Times New Roman" w:cs="Times New Roman"/>
          <w:b/>
          <w:sz w:val="28"/>
          <w:szCs w:val="28"/>
        </w:rPr>
        <w:t>атомної енергетики становила 25,1</w:t>
      </w:r>
      <w:r w:rsidRPr="000B2C57">
        <w:rPr>
          <w:rFonts w:ascii="Times New Roman" w:hAnsi="Times New Roman" w:cs="Times New Roman"/>
          <w:sz w:val="28"/>
          <w:szCs w:val="28"/>
        </w:rPr>
        <w:t xml:space="preserve"> % (22,5 млн т н.е.); </w:t>
      </w:r>
      <w:r w:rsidRPr="00B04F6A">
        <w:rPr>
          <w:rFonts w:ascii="Times New Roman" w:hAnsi="Times New Roman" w:cs="Times New Roman"/>
          <w:b/>
          <w:sz w:val="28"/>
          <w:szCs w:val="28"/>
        </w:rPr>
        <w:t>вугілля – 28,7</w:t>
      </w:r>
      <w:r w:rsidRPr="000B2C57">
        <w:rPr>
          <w:rFonts w:ascii="Times New Roman" w:hAnsi="Times New Roman" w:cs="Times New Roman"/>
          <w:sz w:val="28"/>
          <w:szCs w:val="28"/>
        </w:rPr>
        <w:t xml:space="preserve"> % (25,7 млн т н.е.); </w:t>
      </w:r>
      <w:r w:rsidRPr="00B04F6A">
        <w:rPr>
          <w:rFonts w:ascii="Times New Roman" w:hAnsi="Times New Roman" w:cs="Times New Roman"/>
          <w:b/>
          <w:sz w:val="28"/>
          <w:szCs w:val="28"/>
        </w:rPr>
        <w:t>сирої нафти та нафтопродуктів – 3,7</w:t>
      </w:r>
      <w:r w:rsidRPr="000B2C57">
        <w:rPr>
          <w:rFonts w:ascii="Times New Roman" w:hAnsi="Times New Roman" w:cs="Times New Roman"/>
          <w:sz w:val="28"/>
          <w:szCs w:val="28"/>
        </w:rPr>
        <w:t xml:space="preserve"> % (3,4 млн т н.е.); </w:t>
      </w:r>
      <w:r w:rsidRPr="00B04F6A">
        <w:rPr>
          <w:rFonts w:ascii="Times New Roman" w:hAnsi="Times New Roman" w:cs="Times New Roman"/>
          <w:b/>
          <w:sz w:val="28"/>
          <w:szCs w:val="28"/>
        </w:rPr>
        <w:t>біомаси (біомаса, паливо та відходи) – 3,4 %</w:t>
      </w:r>
      <w:r w:rsidRPr="000B2C57">
        <w:rPr>
          <w:rFonts w:ascii="Times New Roman" w:hAnsi="Times New Roman" w:cs="Times New Roman"/>
          <w:sz w:val="28"/>
          <w:szCs w:val="28"/>
        </w:rPr>
        <w:t xml:space="preserve"> (3 млн т н.е.); </w:t>
      </w:r>
      <w:r w:rsidRPr="00B04F6A">
        <w:rPr>
          <w:rFonts w:ascii="Times New Roman" w:hAnsi="Times New Roman" w:cs="Times New Roman"/>
          <w:b/>
          <w:sz w:val="28"/>
          <w:szCs w:val="28"/>
        </w:rPr>
        <w:t>ГЕС – 0,8</w:t>
      </w:r>
      <w:r w:rsidRPr="000B2C57">
        <w:rPr>
          <w:rFonts w:ascii="Times New Roman" w:hAnsi="Times New Roman" w:cs="Times New Roman"/>
          <w:sz w:val="28"/>
          <w:szCs w:val="28"/>
        </w:rPr>
        <w:t xml:space="preserve"> % (0,8 млн т н.е.); </w:t>
      </w:r>
      <w:r w:rsidRPr="00B04F6A">
        <w:rPr>
          <w:rFonts w:ascii="Times New Roman" w:hAnsi="Times New Roman" w:cs="Times New Roman"/>
          <w:b/>
          <w:sz w:val="28"/>
          <w:szCs w:val="28"/>
        </w:rPr>
        <w:t>термальної енергії (термальна енергія довкілля та скидні ресурси техногенного походження) – 0,</w:t>
      </w:r>
      <w:r w:rsidRPr="000B2C57">
        <w:rPr>
          <w:rFonts w:ascii="Times New Roman" w:hAnsi="Times New Roman" w:cs="Times New Roman"/>
          <w:sz w:val="28"/>
          <w:szCs w:val="28"/>
        </w:rPr>
        <w:t xml:space="preserve">6 % (0,5 млн т н.е.) та </w:t>
      </w:r>
      <w:r w:rsidRPr="00B04F6A">
        <w:rPr>
          <w:rFonts w:ascii="Times New Roman" w:hAnsi="Times New Roman" w:cs="Times New Roman"/>
          <w:b/>
          <w:sz w:val="28"/>
          <w:szCs w:val="28"/>
        </w:rPr>
        <w:t>вітрової і сонячної енергії разом – 0,1 %</w:t>
      </w:r>
      <w:r w:rsidRPr="000B2C57">
        <w:rPr>
          <w:rFonts w:ascii="Times New Roman" w:hAnsi="Times New Roman" w:cs="Times New Roman"/>
          <w:sz w:val="28"/>
          <w:szCs w:val="28"/>
        </w:rPr>
        <w:t xml:space="preserve"> (0,1 млн т н.е.).  Сумарна частка всіх відновлювальних джерел енергії становила лише </w:t>
      </w:r>
      <w:r w:rsidRPr="00B04F6A">
        <w:rPr>
          <w:rFonts w:ascii="Times New Roman" w:hAnsi="Times New Roman" w:cs="Times New Roman"/>
          <w:b/>
          <w:sz w:val="28"/>
          <w:szCs w:val="28"/>
        </w:rPr>
        <w:t>6,7 %.</w:t>
      </w:r>
      <w:r w:rsidRPr="000B2C57">
        <w:rPr>
          <w:rFonts w:ascii="Times New Roman" w:hAnsi="Times New Roman" w:cs="Times New Roman"/>
          <w:sz w:val="28"/>
          <w:szCs w:val="28"/>
        </w:rPr>
        <w:t xml:space="preserve"> Проте в динаміці спостерігається тенденція до її зростання.  Разом з тим, з огляду на обмеженість природних ресурсів в Україні, показник імпортозалежності з урахуванням постачання ядерного палива, </w:t>
      </w:r>
      <w:r w:rsidR="00B04F6A">
        <w:rPr>
          <w:rFonts w:ascii="Times New Roman" w:hAnsi="Times New Roman" w:cs="Times New Roman"/>
          <w:sz w:val="28"/>
          <w:szCs w:val="28"/>
        </w:rPr>
        <w:t xml:space="preserve">складає </w:t>
      </w:r>
      <w:r w:rsidRPr="000B2C57">
        <w:rPr>
          <w:rFonts w:ascii="Times New Roman" w:hAnsi="Times New Roman" w:cs="Times New Roman"/>
          <w:sz w:val="28"/>
          <w:szCs w:val="28"/>
        </w:rPr>
        <w:t>39,3 %, що становить ризик для енергетичної безпеки.</w:t>
      </w:r>
    </w:p>
    <w:p w:rsidR="00A446B1" w:rsidRPr="00A446B1" w:rsidRDefault="00A446B1" w:rsidP="00A446B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46B1">
        <w:rPr>
          <w:rFonts w:ascii="Times New Roman" w:hAnsi="Times New Roman" w:cs="Times New Roman"/>
          <w:sz w:val="28"/>
          <w:szCs w:val="28"/>
        </w:rPr>
        <w:t>За останніми даними Євростату питома  вага відновлювальної енергетики у загальному кінцевому споживанні енергії в країнах Європейського Союзу склала 17,5 % (2016 р. – 17,0 %). Наведені цифри демонструють її зростання більш як у двічі протягом останніх десяти років. Разом з тим серед країн Європейського Союзу спостерігаються значні відмінності у структурі споживання альтернативної енергії: від 6,4 % у Люксембурзі та Мальті до 54,5 % у Швеції [393].</w:t>
      </w:r>
    </w:p>
    <w:p w:rsidR="00A446B1" w:rsidRPr="00A446B1" w:rsidRDefault="00A446B1" w:rsidP="00A446B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46B1">
        <w:rPr>
          <w:rFonts w:ascii="Times New Roman" w:hAnsi="Times New Roman" w:cs="Times New Roman"/>
          <w:sz w:val="28"/>
          <w:szCs w:val="28"/>
        </w:rPr>
        <w:t>Слід зазначити, що в країнах ЄС, як і в Україні, в структурі відновлюваних джерел енергії енергія від переробки біомаси та відходів</w:t>
      </w:r>
      <w:r w:rsidR="001322BC">
        <w:rPr>
          <w:rFonts w:ascii="Times New Roman" w:hAnsi="Times New Roman" w:cs="Times New Roman"/>
          <w:sz w:val="28"/>
          <w:szCs w:val="28"/>
        </w:rPr>
        <w:t xml:space="preserve"> </w:t>
      </w:r>
      <w:r w:rsidR="001322BC">
        <w:rPr>
          <w:rFonts w:ascii="Times New Roman" w:hAnsi="Times New Roman" w:cs="Times New Roman"/>
          <w:sz w:val="28"/>
          <w:szCs w:val="28"/>
        </w:rPr>
        <w:t>займає</w:t>
      </w:r>
      <w:r w:rsidRPr="00A446B1">
        <w:rPr>
          <w:rFonts w:ascii="Times New Roman" w:hAnsi="Times New Roman" w:cs="Times New Roman"/>
          <w:sz w:val="28"/>
          <w:szCs w:val="28"/>
        </w:rPr>
        <w:t xml:space="preserve"> </w:t>
      </w:r>
      <w:r w:rsidRPr="00A446B1">
        <w:rPr>
          <w:rFonts w:ascii="Times New Roman" w:hAnsi="Times New Roman" w:cs="Times New Roman"/>
          <w:sz w:val="28"/>
          <w:szCs w:val="28"/>
        </w:rPr>
        <w:t>– 74 % та 62 % відповідно (табл.</w:t>
      </w:r>
      <w:r>
        <w:rPr>
          <w:rFonts w:ascii="Times New Roman" w:hAnsi="Times New Roman" w:cs="Times New Roman"/>
          <w:sz w:val="28"/>
          <w:szCs w:val="28"/>
        </w:rPr>
        <w:t>1</w:t>
      </w:r>
      <w:r w:rsidRPr="00A446B1">
        <w:rPr>
          <w:rFonts w:ascii="Times New Roman" w:hAnsi="Times New Roman" w:cs="Times New Roman"/>
          <w:sz w:val="28"/>
          <w:szCs w:val="28"/>
        </w:rPr>
        <w:t>).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446B1">
        <w:rPr>
          <w:rFonts w:ascii="Times New Roman" w:hAnsi="Times New Roman" w:cs="Times New Roman"/>
          <w:sz w:val="28"/>
          <w:szCs w:val="28"/>
        </w:rPr>
        <w:t xml:space="preserve">Серед країн ЄС-28 найбільша питома вага виробництва енергії з біомаси та відходів спостерігається в Єстонії (93,8 %), Литві (92,1 %) і </w:t>
      </w:r>
      <w:r w:rsidRPr="00A446B1">
        <w:rPr>
          <w:rFonts w:ascii="Times New Roman" w:hAnsi="Times New Roman" w:cs="Times New Roman"/>
          <w:sz w:val="28"/>
          <w:szCs w:val="28"/>
        </w:rPr>
        <w:lastRenderedPageBreak/>
        <w:t>Польщі (90,1 %), а найменша – на Кіпрі (31,7 %), в Іспанії (38,2 %) і Мальті (40 %).</w:t>
      </w:r>
    </w:p>
    <w:p w:rsidR="00A446B1" w:rsidRPr="00A446B1" w:rsidRDefault="00A446B1" w:rsidP="00A446B1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A446B1">
        <w:rPr>
          <w:rFonts w:ascii="Times New Roman" w:hAnsi="Times New Roman" w:cs="Times New Roman"/>
          <w:b/>
          <w:sz w:val="28"/>
          <w:szCs w:val="28"/>
        </w:rPr>
        <w:t xml:space="preserve">Таблиця </w:t>
      </w:r>
      <w:r>
        <w:rPr>
          <w:rFonts w:ascii="Times New Roman" w:hAnsi="Times New Roman" w:cs="Times New Roman"/>
          <w:b/>
          <w:sz w:val="28"/>
          <w:szCs w:val="28"/>
        </w:rPr>
        <w:t>1</w:t>
      </w:r>
      <w:r w:rsidRPr="00A446B1">
        <w:rPr>
          <w:rFonts w:ascii="Times New Roman" w:hAnsi="Times New Roman" w:cs="Times New Roman"/>
          <w:b/>
          <w:sz w:val="28"/>
          <w:szCs w:val="28"/>
        </w:rPr>
        <w:t xml:space="preserve"> Структура відновлюваних джерел енергії в Україні та країнах ЄС-28 у 2017 році, %</w:t>
      </w:r>
    </w:p>
    <w:tbl>
      <w:tblPr>
        <w:tblStyle w:val="TableGrid"/>
        <w:tblW w:w="5000" w:type="pct"/>
        <w:tblInd w:w="0" w:type="dxa"/>
        <w:tblLook w:val="04A0" w:firstRow="1" w:lastRow="0" w:firstColumn="1" w:lastColumn="0" w:noHBand="0" w:noVBand="1"/>
      </w:tblPr>
      <w:tblGrid>
        <w:gridCol w:w="3207"/>
        <w:gridCol w:w="3210"/>
        <w:gridCol w:w="3210"/>
      </w:tblGrid>
      <w:tr w:rsidR="00A446B1" w:rsidTr="00A446B1">
        <w:tc>
          <w:tcPr>
            <w:tcW w:w="16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46B1" w:rsidRDefault="00A446B1">
            <w:pPr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Відновлювальні джерела енергії</w:t>
            </w:r>
          </w:p>
        </w:tc>
        <w:tc>
          <w:tcPr>
            <w:tcW w:w="1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46B1" w:rsidRDefault="00A446B1">
            <w:pPr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Країни ЄС-28</w:t>
            </w:r>
          </w:p>
        </w:tc>
        <w:tc>
          <w:tcPr>
            <w:tcW w:w="1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46B1" w:rsidRDefault="00A446B1">
            <w:pPr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Україна</w:t>
            </w:r>
          </w:p>
        </w:tc>
      </w:tr>
      <w:tr w:rsidR="00A446B1" w:rsidTr="00A446B1">
        <w:trPr>
          <w:trHeight w:val="58"/>
        </w:trPr>
        <w:tc>
          <w:tcPr>
            <w:tcW w:w="16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46B1" w:rsidRDefault="00A446B1">
            <w:pPr>
              <w:spacing w:line="360" w:lineRule="auto"/>
              <w:rPr>
                <w:lang w:val="uk-UA"/>
              </w:rPr>
            </w:pPr>
            <w:r>
              <w:rPr>
                <w:lang w:val="uk-UA"/>
              </w:rPr>
              <w:t>Біомаса та відходи</w:t>
            </w:r>
          </w:p>
        </w:tc>
        <w:tc>
          <w:tcPr>
            <w:tcW w:w="1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73,9</w:t>
            </w:r>
          </w:p>
        </w:tc>
        <w:tc>
          <w:tcPr>
            <w:tcW w:w="1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62,0</w:t>
            </w:r>
          </w:p>
        </w:tc>
      </w:tr>
      <w:tr w:rsidR="00A446B1" w:rsidTr="00A446B1">
        <w:tc>
          <w:tcPr>
            <w:tcW w:w="16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46B1" w:rsidRDefault="00A446B1">
            <w:pPr>
              <w:spacing w:line="360" w:lineRule="auto"/>
              <w:rPr>
                <w:lang w:val="uk-UA"/>
              </w:rPr>
            </w:pPr>
            <w:r>
              <w:rPr>
                <w:lang w:val="uk-UA"/>
              </w:rPr>
              <w:t>Сонячна та вітрова енергетика</w:t>
            </w:r>
          </w:p>
        </w:tc>
        <w:tc>
          <w:tcPr>
            <w:tcW w:w="1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15,3</w:t>
            </w:r>
          </w:p>
        </w:tc>
        <w:tc>
          <w:tcPr>
            <w:tcW w:w="1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15,2</w:t>
            </w:r>
          </w:p>
        </w:tc>
      </w:tr>
      <w:tr w:rsidR="00A446B1" w:rsidTr="00A446B1">
        <w:tc>
          <w:tcPr>
            <w:tcW w:w="16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46B1" w:rsidRDefault="00A446B1">
            <w:pPr>
              <w:spacing w:line="360" w:lineRule="auto"/>
              <w:rPr>
                <w:lang w:val="uk-UA"/>
              </w:rPr>
            </w:pPr>
            <w:r>
              <w:rPr>
                <w:lang w:val="uk-UA"/>
              </w:rPr>
              <w:t>Гідроенергетика</w:t>
            </w:r>
          </w:p>
        </w:tc>
        <w:tc>
          <w:tcPr>
            <w:tcW w:w="1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10,0</w:t>
            </w:r>
          </w:p>
        </w:tc>
        <w:tc>
          <w:tcPr>
            <w:tcW w:w="1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15,2</w:t>
            </w:r>
          </w:p>
        </w:tc>
      </w:tr>
      <w:tr w:rsidR="00A446B1" w:rsidTr="00A446B1">
        <w:tc>
          <w:tcPr>
            <w:tcW w:w="16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46B1" w:rsidRDefault="00A446B1">
            <w:pPr>
              <w:spacing w:line="360" w:lineRule="auto"/>
              <w:rPr>
                <w:lang w:val="uk-UA"/>
              </w:rPr>
            </w:pPr>
            <w:r>
              <w:rPr>
                <w:lang w:val="uk-UA"/>
              </w:rPr>
              <w:t>Геотермальна енергетика</w:t>
            </w:r>
          </w:p>
        </w:tc>
        <w:tc>
          <w:tcPr>
            <w:tcW w:w="1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0,8</w:t>
            </w:r>
          </w:p>
        </w:tc>
        <w:tc>
          <w:tcPr>
            <w:tcW w:w="1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7,6</w:t>
            </w:r>
          </w:p>
        </w:tc>
      </w:tr>
    </w:tbl>
    <w:p w:rsidR="00A446B1" w:rsidRDefault="00A446B1" w:rsidP="00A446B1">
      <w:pPr>
        <w:spacing w:line="360" w:lineRule="auto"/>
        <w:jc w:val="right"/>
        <w:rPr>
          <w:sz w:val="24"/>
          <w:szCs w:val="24"/>
          <w:lang w:val="ru-RU"/>
        </w:rPr>
      </w:pPr>
    </w:p>
    <w:p w:rsidR="00B04F6A" w:rsidRPr="00B04F6A" w:rsidRDefault="00B04F6A" w:rsidP="00B04F6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04F6A">
        <w:rPr>
          <w:rFonts w:ascii="Times New Roman" w:hAnsi="Times New Roman" w:cs="Times New Roman"/>
          <w:sz w:val="28"/>
          <w:szCs w:val="28"/>
        </w:rPr>
        <w:t>Нова енергетичної стратегі</w:t>
      </w:r>
      <w:r>
        <w:rPr>
          <w:rFonts w:ascii="Times New Roman" w:hAnsi="Times New Roman" w:cs="Times New Roman"/>
          <w:sz w:val="28"/>
          <w:szCs w:val="28"/>
        </w:rPr>
        <w:t>я</w:t>
      </w:r>
      <w:r w:rsidRPr="00B04F6A">
        <w:rPr>
          <w:rFonts w:ascii="Times New Roman" w:hAnsi="Times New Roman" w:cs="Times New Roman"/>
          <w:sz w:val="28"/>
          <w:szCs w:val="28"/>
        </w:rPr>
        <w:t xml:space="preserve"> України до 2035 року «Безпека, енергоефективність, конкурентоспроможність» передбачає «збільшення використання біомаси у генерації електро- та теплоенергії». Так, передбачається, що до 2035 року частка відновлювальних джерел енергії в Україні становитиме 25 %, в тому числі біомаси, біопалива та відходів – 11,5 %. Тобто, в Україні зростає значення виробництва біомаси.</w:t>
      </w:r>
    </w:p>
    <w:p w:rsidR="00A446B1" w:rsidRPr="00A446B1" w:rsidRDefault="00A446B1" w:rsidP="00A446B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46B1">
        <w:rPr>
          <w:rFonts w:ascii="Times New Roman" w:hAnsi="Times New Roman" w:cs="Times New Roman"/>
          <w:sz w:val="28"/>
          <w:szCs w:val="28"/>
        </w:rPr>
        <w:t>За оцінкою Біоенергетичної асоціації України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446B1">
        <w:rPr>
          <w:rFonts w:ascii="Times New Roman" w:hAnsi="Times New Roman" w:cs="Times New Roman"/>
          <w:sz w:val="28"/>
          <w:szCs w:val="28"/>
        </w:rPr>
        <w:t>потенціал енергії з біомаси складає 23 млн т н.е</w:t>
      </w:r>
      <w:r>
        <w:rPr>
          <w:rFonts w:ascii="Times New Roman" w:hAnsi="Times New Roman" w:cs="Times New Roman"/>
          <w:sz w:val="28"/>
          <w:szCs w:val="28"/>
        </w:rPr>
        <w:t xml:space="preserve"> (табл. 2)</w:t>
      </w:r>
      <w:r w:rsidR="001322BC">
        <w:rPr>
          <w:rFonts w:ascii="Times New Roman" w:hAnsi="Times New Roman" w:cs="Times New Roman"/>
          <w:sz w:val="28"/>
          <w:szCs w:val="28"/>
        </w:rPr>
        <w:t xml:space="preserve"> (нафтового еквіваленту)</w:t>
      </w:r>
      <w:r w:rsidRPr="00A446B1">
        <w:rPr>
          <w:rFonts w:ascii="Times New Roman" w:hAnsi="Times New Roman" w:cs="Times New Roman"/>
          <w:sz w:val="28"/>
          <w:szCs w:val="28"/>
        </w:rPr>
        <w:t>. Основними складовими цього потенціалу є побічні продукти рослинництва (загалом 10 млн т н.е. або 44% від загального потенціалу біомаси) та енергетичні культури (загалом 7,5 млн т н.е. або 32% від загального потенціалу).</w:t>
      </w:r>
    </w:p>
    <w:p w:rsidR="00A446B1" w:rsidRDefault="00A446B1" w:rsidP="00A446B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46B1">
        <w:rPr>
          <w:rFonts w:ascii="Times New Roman" w:hAnsi="Times New Roman" w:cs="Times New Roman"/>
          <w:sz w:val="28"/>
          <w:szCs w:val="28"/>
        </w:rPr>
        <w:t xml:space="preserve">Потенціал України в розвитку виробництва біоенергії величезний. Україна має добре розвинене сільське господарство, відходи від діяльності якого дають відмінну сировинну базу. За даними Державного агентства з енергоефективності та енергозбереження, використання тільки 37% відходів від роботи </w:t>
      </w:r>
      <w:r w:rsidRPr="00A446B1">
        <w:rPr>
          <w:rFonts w:ascii="Times New Roman" w:hAnsi="Times New Roman" w:cs="Times New Roman"/>
          <w:sz w:val="28"/>
          <w:szCs w:val="28"/>
        </w:rPr>
        <w:lastRenderedPageBreak/>
        <w:t>тваринницьких і рослинницьких господарств дозволить отримати понад 10 млрд куб.м. газу.</w:t>
      </w:r>
    </w:p>
    <w:p w:rsidR="00A446B1" w:rsidRPr="00A446B1" w:rsidRDefault="00A446B1" w:rsidP="00A446B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446B1">
        <w:rPr>
          <w:rFonts w:ascii="Times New Roman" w:hAnsi="Times New Roman" w:cs="Times New Roman"/>
          <w:i/>
          <w:sz w:val="28"/>
          <w:szCs w:val="28"/>
        </w:rPr>
        <w:t>Таблиця 2.</w:t>
      </w:r>
      <w:r w:rsidRPr="00A446B1">
        <w:rPr>
          <w:rFonts w:ascii="Times New Roman" w:hAnsi="Times New Roman" w:cs="Times New Roman"/>
          <w:sz w:val="28"/>
          <w:szCs w:val="28"/>
        </w:rPr>
        <w:t xml:space="preserve"> </w:t>
      </w:r>
      <w:r w:rsidRPr="00A446B1">
        <w:rPr>
          <w:rFonts w:ascii="Times New Roman" w:hAnsi="Times New Roman" w:cs="Times New Roman"/>
          <w:b/>
          <w:sz w:val="28"/>
          <w:szCs w:val="28"/>
        </w:rPr>
        <w:t>Потенціал біоенергетики в сільському господарстві України, 201</w:t>
      </w:r>
      <w:r>
        <w:rPr>
          <w:rFonts w:ascii="Times New Roman" w:hAnsi="Times New Roman" w:cs="Times New Roman"/>
          <w:b/>
          <w:sz w:val="28"/>
          <w:szCs w:val="28"/>
        </w:rPr>
        <w:t>9</w:t>
      </w:r>
      <w:r w:rsidRPr="00A446B1">
        <w:rPr>
          <w:rFonts w:ascii="Times New Roman" w:hAnsi="Times New Roman" w:cs="Times New Roman"/>
          <w:b/>
          <w:sz w:val="28"/>
          <w:szCs w:val="28"/>
        </w:rPr>
        <w:t xml:space="preserve"> рік</w:t>
      </w:r>
      <w:r w:rsidRPr="00A446B1">
        <w:rPr>
          <w:rFonts w:ascii="Times New Roman" w:hAnsi="Times New Roman" w:cs="Times New Roman"/>
          <w:sz w:val="28"/>
          <w:szCs w:val="28"/>
        </w:rPr>
        <w:t xml:space="preserve"> </w:t>
      </w:r>
    </w:p>
    <w:tbl>
      <w:tblPr>
        <w:tblStyle w:val="TableGrid"/>
        <w:tblW w:w="0" w:type="auto"/>
        <w:tblInd w:w="0" w:type="dxa"/>
        <w:tblLook w:val="04A0" w:firstRow="1" w:lastRow="0" w:firstColumn="1" w:lastColumn="0" w:noHBand="0" w:noVBand="1"/>
      </w:tblPr>
      <w:tblGrid>
        <w:gridCol w:w="3794"/>
        <w:gridCol w:w="1828"/>
        <w:gridCol w:w="1971"/>
        <w:gridCol w:w="1971"/>
      </w:tblGrid>
      <w:tr w:rsidR="00A446B1" w:rsidTr="00A446B1">
        <w:tc>
          <w:tcPr>
            <w:tcW w:w="37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46B1" w:rsidRDefault="00A446B1">
            <w:pPr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Вид біомаси</w:t>
            </w:r>
          </w:p>
        </w:tc>
        <w:tc>
          <w:tcPr>
            <w:tcW w:w="18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46B1" w:rsidRDefault="00A446B1">
            <w:pPr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Теоретичний потенціал, млн тонн</w:t>
            </w:r>
          </w:p>
        </w:tc>
        <w:tc>
          <w:tcPr>
            <w:tcW w:w="39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46B1" w:rsidRDefault="00A446B1">
            <w:pPr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Потенціал, доступний для енергетики</w:t>
            </w:r>
          </w:p>
        </w:tc>
      </w:tr>
      <w:tr w:rsidR="00A446B1" w:rsidTr="00A446B1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46B1" w:rsidRDefault="00A446B1">
            <w:pPr>
              <w:rPr>
                <w:rFonts w:cs="Times New Roman"/>
                <w:lang w:val="uk-U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46B1" w:rsidRDefault="00A446B1">
            <w:pPr>
              <w:rPr>
                <w:rFonts w:cs="Times New Roman"/>
                <w:lang w:val="uk-UA"/>
              </w:rPr>
            </w:pP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46B1" w:rsidRDefault="00A446B1">
            <w:pPr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%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46B1" w:rsidRDefault="00A446B1">
            <w:pPr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млн тонн н.е.</w:t>
            </w:r>
          </w:p>
        </w:tc>
      </w:tr>
      <w:tr w:rsidR="00A446B1" w:rsidTr="00A446B1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46B1" w:rsidRDefault="00A446B1">
            <w:pPr>
              <w:rPr>
                <w:lang w:val="uk-UA"/>
              </w:rPr>
            </w:pPr>
            <w:r>
              <w:rPr>
                <w:lang w:val="uk-UA"/>
              </w:rPr>
              <w:t>Солома зернових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32,8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30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3,36</w:t>
            </w:r>
          </w:p>
        </w:tc>
      </w:tr>
      <w:tr w:rsidR="00A446B1" w:rsidTr="00A446B1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46B1" w:rsidRDefault="00A446B1">
            <w:pPr>
              <w:rPr>
                <w:lang w:val="uk-UA"/>
              </w:rPr>
            </w:pPr>
            <w:r>
              <w:rPr>
                <w:lang w:val="uk-UA"/>
              </w:rPr>
              <w:t>Солома ріпаку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4,9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40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0,68</w:t>
            </w:r>
          </w:p>
        </w:tc>
      </w:tr>
      <w:tr w:rsidR="00A446B1" w:rsidTr="00A446B1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46B1" w:rsidRDefault="00A446B1">
            <w:pPr>
              <w:rPr>
                <w:lang w:val="uk-UA"/>
              </w:rPr>
            </w:pPr>
            <w:r>
              <w:rPr>
                <w:lang w:val="uk-UA"/>
              </w:rPr>
              <w:t>Побічні продукти кукурудзи на зерно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46,5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40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3,56</w:t>
            </w:r>
          </w:p>
        </w:tc>
      </w:tr>
      <w:tr w:rsidR="00A446B1" w:rsidTr="00A446B1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46B1" w:rsidRDefault="00A446B1">
            <w:pPr>
              <w:rPr>
                <w:lang w:val="uk-UA"/>
              </w:rPr>
            </w:pPr>
            <w:r>
              <w:rPr>
                <w:lang w:val="uk-UA"/>
              </w:rPr>
              <w:t>Побічні продукти соняшника (стебла, корзинки)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26,9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40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1,54</w:t>
            </w:r>
          </w:p>
        </w:tc>
      </w:tr>
      <w:tr w:rsidR="00A446B1" w:rsidTr="00A446B1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46B1" w:rsidRDefault="00A446B1">
            <w:pPr>
              <w:rPr>
                <w:lang w:val="uk-UA"/>
              </w:rPr>
            </w:pPr>
            <w:r>
              <w:rPr>
                <w:lang w:val="uk-UA"/>
              </w:rPr>
              <w:t>Вторинні відходи сільського господарства (лушпиння)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2,4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100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1,00</w:t>
            </w:r>
          </w:p>
        </w:tc>
      </w:tr>
      <w:tr w:rsidR="00A446B1" w:rsidTr="00A446B1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46B1" w:rsidRDefault="00A446B1">
            <w:pPr>
              <w:rPr>
                <w:lang w:val="uk-UA"/>
              </w:rPr>
            </w:pPr>
            <w:r>
              <w:rPr>
                <w:lang w:val="uk-UA"/>
              </w:rPr>
              <w:t>Деревна біомаса (дрова, деревні відходи)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8,8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96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2,06</w:t>
            </w:r>
          </w:p>
        </w:tc>
      </w:tr>
      <w:tr w:rsidR="00A446B1" w:rsidTr="00A446B1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46B1" w:rsidRDefault="00A446B1">
            <w:pPr>
              <w:rPr>
                <w:lang w:val="uk-UA"/>
              </w:rPr>
            </w:pPr>
            <w:r>
              <w:rPr>
                <w:lang w:val="uk-UA"/>
              </w:rPr>
              <w:t>Деревна біомаса (сухостій, лісосмуги)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8,8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45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1,02</w:t>
            </w:r>
          </w:p>
        </w:tc>
      </w:tr>
      <w:tr w:rsidR="00A446B1" w:rsidTr="00A446B1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46B1" w:rsidRDefault="00A446B1">
            <w:pPr>
              <w:rPr>
                <w:lang w:val="uk-UA"/>
              </w:rPr>
            </w:pPr>
            <w:r>
              <w:rPr>
                <w:lang w:val="uk-UA"/>
              </w:rPr>
              <w:t>Біодизель (ріпак)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-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-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0,39</w:t>
            </w:r>
          </w:p>
        </w:tc>
      </w:tr>
      <w:tr w:rsidR="00A446B1" w:rsidTr="00A446B1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46B1" w:rsidRDefault="00A446B1">
            <w:pPr>
              <w:rPr>
                <w:lang w:val="uk-UA"/>
              </w:rPr>
            </w:pPr>
            <w:r>
              <w:rPr>
                <w:lang w:val="uk-UA"/>
              </w:rPr>
              <w:t>Біоетанол (кукурудза, ц/б)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-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-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0,82</w:t>
            </w:r>
          </w:p>
        </w:tc>
      </w:tr>
      <w:tr w:rsidR="00A446B1" w:rsidTr="00A446B1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46B1" w:rsidRDefault="00A446B1">
            <w:pPr>
              <w:rPr>
                <w:lang w:val="uk-UA"/>
              </w:rPr>
            </w:pPr>
            <w:r>
              <w:rPr>
                <w:lang w:val="uk-UA"/>
              </w:rPr>
              <w:t>Біогаз з агровідходів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1,6 млрд м</w:t>
            </w:r>
            <w:r>
              <w:rPr>
                <w:vertAlign w:val="superscript"/>
                <w:lang w:val="uk-UA"/>
              </w:rPr>
              <w:t>3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50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0,68</w:t>
            </w:r>
          </w:p>
        </w:tc>
      </w:tr>
      <w:tr w:rsidR="00A446B1" w:rsidTr="00A446B1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46B1" w:rsidRDefault="00A446B1">
            <w:pPr>
              <w:rPr>
                <w:lang w:val="uk-UA"/>
              </w:rPr>
            </w:pPr>
            <w:r>
              <w:rPr>
                <w:lang w:val="uk-UA"/>
              </w:rPr>
              <w:t>Біогаз з полігонів твердих відходів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0,6 млрд м</w:t>
            </w:r>
            <w:r>
              <w:rPr>
                <w:vertAlign w:val="superscript"/>
                <w:lang w:val="uk-UA"/>
              </w:rPr>
              <w:t>3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34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0,18</w:t>
            </w:r>
          </w:p>
        </w:tc>
      </w:tr>
      <w:tr w:rsidR="00A446B1" w:rsidTr="00A446B1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46B1" w:rsidRDefault="00A446B1">
            <w:pPr>
              <w:rPr>
                <w:lang w:val="uk-UA"/>
              </w:rPr>
            </w:pPr>
            <w:r>
              <w:rPr>
                <w:lang w:val="uk-UA"/>
              </w:rPr>
              <w:t>Біогаз зі стічних вод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1,0 млрд м</w:t>
            </w:r>
            <w:r>
              <w:rPr>
                <w:vertAlign w:val="superscript"/>
                <w:lang w:val="uk-UA"/>
              </w:rPr>
              <w:t>3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23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0,19</w:t>
            </w:r>
          </w:p>
        </w:tc>
      </w:tr>
      <w:tr w:rsidR="00A446B1" w:rsidTr="00A446B1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46B1" w:rsidRDefault="00A446B1">
            <w:pPr>
              <w:rPr>
                <w:lang w:val="uk-UA"/>
              </w:rPr>
            </w:pPr>
            <w:r>
              <w:rPr>
                <w:lang w:val="uk-UA"/>
              </w:rPr>
              <w:t>Енергетичні культури (верба, тополя)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11,5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100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4,88</w:t>
            </w:r>
          </w:p>
        </w:tc>
      </w:tr>
      <w:tr w:rsidR="00A446B1" w:rsidTr="00A446B1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46B1" w:rsidRDefault="00A446B1">
            <w:pPr>
              <w:rPr>
                <w:lang w:val="uk-UA"/>
              </w:rPr>
            </w:pPr>
            <w:r>
              <w:rPr>
                <w:lang w:val="uk-UA"/>
              </w:rPr>
              <w:t>Енергетичні культури (кукурудза на біогаз)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3,0 млрд м</w:t>
            </w:r>
            <w:r>
              <w:rPr>
                <w:vertAlign w:val="superscript"/>
                <w:lang w:val="uk-UA"/>
              </w:rPr>
              <w:t>3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100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2,58</w:t>
            </w:r>
          </w:p>
        </w:tc>
      </w:tr>
      <w:tr w:rsidR="00A446B1" w:rsidTr="00A446B1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46B1" w:rsidRDefault="00A446B1">
            <w:pPr>
              <w:rPr>
                <w:lang w:val="uk-UA"/>
              </w:rPr>
            </w:pPr>
            <w:r>
              <w:rPr>
                <w:lang w:val="uk-UA"/>
              </w:rPr>
              <w:t xml:space="preserve">Всього 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-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-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46B1" w:rsidRDefault="00A446B1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23</w:t>
            </w:r>
          </w:p>
        </w:tc>
      </w:tr>
    </w:tbl>
    <w:p w:rsidR="00A446B1" w:rsidRPr="00A446B1" w:rsidRDefault="00A446B1" w:rsidP="00A446B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446B1" w:rsidRPr="00A446B1" w:rsidRDefault="00A446B1" w:rsidP="00A446B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46B1">
        <w:rPr>
          <w:rFonts w:ascii="Times New Roman" w:hAnsi="Times New Roman" w:cs="Times New Roman"/>
          <w:sz w:val="28"/>
          <w:szCs w:val="28"/>
        </w:rPr>
        <w:t xml:space="preserve">Особливо відзначимо важливість створення біогазових станцій на базі тваринницьких комплексів. Загальноприйнята практика зберігання відходів виробництва (гною) у відкритих буртах або лагунах призводить до погіршення екології в довколишніх районах. Утилізація гною в величезних партіях дорога, штрафи за порушення санітарних норм також складають великі суми. Отримання </w:t>
      </w:r>
      <w:r w:rsidRPr="00A446B1">
        <w:rPr>
          <w:rFonts w:ascii="Times New Roman" w:hAnsi="Times New Roman" w:cs="Times New Roman"/>
          <w:sz w:val="28"/>
          <w:szCs w:val="28"/>
        </w:rPr>
        <w:lastRenderedPageBreak/>
        <w:t>біогазу з гною стає не тільки виходом з ситуації, що склалася, а й способом отримати додатковий дохід від продажу теплової та електричної енергії.</w:t>
      </w:r>
    </w:p>
    <w:p w:rsidR="00B04F6A" w:rsidRDefault="00B04F6A" w:rsidP="000B2C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67A16" w:rsidRPr="00667A16" w:rsidRDefault="00667A16" w:rsidP="00667A1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7A16">
        <w:rPr>
          <w:rFonts w:ascii="Times New Roman" w:hAnsi="Times New Roman" w:cs="Times New Roman"/>
          <w:sz w:val="28"/>
          <w:szCs w:val="28"/>
        </w:rPr>
        <w:t xml:space="preserve">Також значний потенціал біоенергетики в сільському господарстві складають відходи від багаторічних насаджень, особливо з біомаси з деревини від обрізки та викорчовування багаторічних насаджень, продукцію яких виробляють в Україні різні типи господарств і господарства населення. Деревина, що утворюється в процесі обрізки чи викорчовування багаторічних сільськогосподарських плантацій може бути використана як для власних енергетичних потреб господарства (заміщення природного газу, вугілля), так і бути реалізована у вигляді дров, тріски чи гранул. Теперішня вітчизняна практика поводження з такими відходами – їх накопичення і спалювання у відкритому вогнищі, а інколи подрібнення та заорювання у ґрунт з метою підвищення його родючості. </w:t>
      </w:r>
    </w:p>
    <w:p w:rsidR="00667A16" w:rsidRDefault="00667A16" w:rsidP="00667A16">
      <w:pPr>
        <w:pStyle w:val="ListParagraph"/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Нині сільськогосподарські підприємства, переважно, закладають сади за інтенсивними технологіями садівництва на карликових і напівкарликових підщепах, за яких плодові дерева вступають у плодоношення вже на 2-3 рік після закладання саду, а населення переважно використовує сильнорослу технологію садівництва, що характеризується більшим запасом деревини та меншою частотою обрізки дерев.</w:t>
      </w:r>
    </w:p>
    <w:p w:rsidR="00667A16" w:rsidRDefault="00667A16" w:rsidP="00667A16">
      <w:pPr>
        <w:pStyle w:val="ListParagraph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На дослідних полях Уманського національного університету закладені сади різних типів з різними технологіями вимірювання. Є площі садів з сильнорослою технологією вирощування, які в переважній більшості застосовують господарства населення, а є високоінтенсивні сади, які закладають сільськогосподарські підприємства (рис.1). </w:t>
      </w:r>
    </w:p>
    <w:p w:rsidR="00667A16" w:rsidRDefault="00667A16" w:rsidP="00667A16">
      <w:pPr>
        <w:pStyle w:val="ListParagraph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tbl>
      <w:tblPr>
        <w:tblStyle w:val="TableGrid"/>
        <w:tblW w:w="5000" w:type="pct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11"/>
        <w:gridCol w:w="3213"/>
        <w:gridCol w:w="3213"/>
      </w:tblGrid>
      <w:tr w:rsidR="00667A16" w:rsidTr="00667A16">
        <w:tc>
          <w:tcPr>
            <w:tcW w:w="1666" w:type="pct"/>
            <w:hideMark/>
          </w:tcPr>
          <w:p w:rsidR="00667A16" w:rsidRDefault="00667A16">
            <w:pPr>
              <w:pStyle w:val="ListParagraph"/>
              <w:spacing w:after="0" w:line="360" w:lineRule="auto"/>
              <w:ind w:left="0"/>
              <w:jc w:val="center"/>
              <w:rPr>
                <w:rFonts w:cs="Times New Roman"/>
                <w:shd w:val="clear" w:color="auto" w:fill="FFFFFF"/>
                <w:lang w:val="uk-UA"/>
              </w:rPr>
            </w:pPr>
            <w:r>
              <w:rPr>
                <w:noProof/>
                <w:lang w:val="uk-UA" w:eastAsia="uk-UA"/>
              </w:rPr>
              <w:lastRenderedPageBreak/>
              <w:drawing>
                <wp:inline distT="0" distB="0" distL="0" distR="0">
                  <wp:extent cx="1743075" cy="1381125"/>
                  <wp:effectExtent l="0" t="0" r="9525" b="9525"/>
                  <wp:docPr id="3" name="Picture 3" descr="Описание: Описание: Описание: http://www.udau.edu.ua/assets/cache/phpthumbof/assets_images_2015_plodo_seminar-GADZ_7..JPG.54ec8d3ff042209ee38e99c2b84e6b32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27" descr="Описание: Описание: Описание: http://www.udau.edu.ua/assets/cache/phpthumbof/assets_images_2015_plodo_seminar-GADZ_7..JPG.54ec8d3ff042209ee38e99c2b84e6b32.jpe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43075" cy="1381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67" w:type="pct"/>
            <w:hideMark/>
          </w:tcPr>
          <w:p w:rsidR="00667A16" w:rsidRDefault="00667A16">
            <w:pPr>
              <w:pStyle w:val="ListParagraph"/>
              <w:spacing w:after="0" w:line="360" w:lineRule="auto"/>
              <w:ind w:left="0"/>
              <w:jc w:val="center"/>
              <w:rPr>
                <w:rFonts w:cs="Times New Roman"/>
                <w:shd w:val="clear" w:color="auto" w:fill="FFFFFF"/>
                <w:lang w:val="uk-UA"/>
              </w:rPr>
            </w:pPr>
            <w:r>
              <w:rPr>
                <w:noProof/>
                <w:lang w:val="uk-UA" w:eastAsia="uk-UA"/>
              </w:rPr>
              <w:drawing>
                <wp:inline distT="0" distB="0" distL="0" distR="0">
                  <wp:extent cx="1590675" cy="1343025"/>
                  <wp:effectExtent l="0" t="0" r="9525" b="9525"/>
                  <wp:docPr id="2" name="Picture 2" descr="Описание: Описание: Описание: C:\Users\1111\Documents\рс-комп\НВЦ Біомаса\фото-вінниця\SAM_2587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26" descr="Описание: Описание: Описание: C:\Users\1111\Documents\рс-комп\НВЦ Біомаса\фото-вінниця\SAM_2587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43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67" w:type="pct"/>
            <w:hideMark/>
          </w:tcPr>
          <w:p w:rsidR="00667A16" w:rsidRDefault="00667A16">
            <w:pPr>
              <w:pStyle w:val="ListParagraph"/>
              <w:spacing w:after="0" w:line="360" w:lineRule="auto"/>
              <w:ind w:left="0"/>
              <w:jc w:val="center"/>
              <w:rPr>
                <w:rFonts w:cs="Times New Roman"/>
                <w:shd w:val="clear" w:color="auto" w:fill="FFFFFF"/>
                <w:lang w:val="uk-UA"/>
              </w:rPr>
            </w:pPr>
            <w:r>
              <w:rPr>
                <w:rFonts w:cs="Times New Roman"/>
                <w:noProof/>
                <w:shd w:val="clear" w:color="auto" w:fill="FFFFFF"/>
                <w:lang w:val="uk-UA" w:eastAsia="uk-UA"/>
              </w:rPr>
              <w:drawing>
                <wp:inline distT="0" distB="0" distL="0" distR="0">
                  <wp:extent cx="1514475" cy="1343025"/>
                  <wp:effectExtent l="0" t="0" r="9525" b="9525"/>
                  <wp:docPr id="1" name="Picture 1" descr="Описание: Описание: Описание: C:\Users\1111\Documents\рс-комп\НВЦ Біомаса\фото-вінниця\SAM_2589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25" descr="Описание: Описание: Описание: C:\Users\1111\Documents\рс-комп\НВЦ Біомаса\фото-вінниця\SAM_2589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14475" cy="1343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667A16" w:rsidRDefault="00667A16" w:rsidP="00667A16">
      <w:pPr>
        <w:pStyle w:val="ListParagraph"/>
        <w:spacing w:after="0" w:line="360" w:lineRule="auto"/>
        <w:ind w:left="0" w:firstLine="567"/>
        <w:jc w:val="right"/>
        <w:rPr>
          <w:rFonts w:ascii="Times New Roman" w:hAnsi="Times New Roman" w:cs="Times New Roman"/>
          <w:b/>
          <w:sz w:val="28"/>
          <w:szCs w:val="28"/>
          <w:highlight w:val="yellow"/>
          <w:shd w:val="clear" w:color="auto" w:fill="FFFFFF"/>
          <w:lang w:val="uk-UA"/>
        </w:rPr>
      </w:pPr>
    </w:p>
    <w:p w:rsidR="00667A16" w:rsidRDefault="00667A16" w:rsidP="00667A16">
      <w:pPr>
        <w:pStyle w:val="ListParagraph"/>
        <w:spacing w:after="0" w:line="360" w:lineRule="auto"/>
        <w:ind w:left="0" w:firstLine="567"/>
        <w:jc w:val="right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Рисунок 1 – Площі садів Уманського національного університету садівництва, на яких здійснювалось вимірювання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кількості деревини сільськогосподарських багаторічних насаджень, утворених від їх обрізки та викорчовування</w:t>
      </w:r>
    </w:p>
    <w:p w:rsidR="008B4B72" w:rsidRDefault="008B4B72" w:rsidP="008B4B72">
      <w:pPr>
        <w:pStyle w:val="ListParagraph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 результаті практичної апробації на площах садів Уманського національного університету та господарств населення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нами встановлено, що за умови застосування інтенсивної технології вирощування багаторічних насаджень теоретичний потенціал з 1 га саду складає 4,76 тон обрізків. </w:t>
      </w:r>
      <w:r>
        <w:rPr>
          <w:rFonts w:ascii="Times New Roman" w:hAnsi="Times New Roman" w:cs="Times New Roman"/>
          <w:sz w:val="28"/>
          <w:szCs w:val="28"/>
        </w:rPr>
        <w:t>Теоретичний потенціал деревної біомаси з 1 га в господарствах населення становить близько 2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</w:rPr>
        <w:t>2 тон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B4B72" w:rsidRDefault="008B4B72" w:rsidP="008B4B72">
      <w:pPr>
        <w:pStyle w:val="ListParagraph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підставі наведених даних можна розрахувати теоретичний потенціал деревної біомаси сільськогосподарських багаторічних насаджень, утворених від їх обрізки та викорчовування (табл. 3).</w:t>
      </w:r>
    </w:p>
    <w:p w:rsidR="008B4B72" w:rsidRDefault="008B4B72" w:rsidP="008B4B72">
      <w:pPr>
        <w:pStyle w:val="ListParagraph"/>
        <w:spacing w:after="0" w:line="360" w:lineRule="auto"/>
        <w:ind w:left="0"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Таблиця 3 Потенціал деревної біомаси від обрізки та викорчовування багаторічних насаджень в Україні</w:t>
      </w:r>
    </w:p>
    <w:tbl>
      <w:tblPr>
        <w:tblStyle w:val="TableGrid"/>
        <w:tblW w:w="5000" w:type="pct"/>
        <w:tblInd w:w="0" w:type="dxa"/>
        <w:tblLook w:val="04A0" w:firstRow="1" w:lastRow="0" w:firstColumn="1" w:lastColumn="0" w:noHBand="0" w:noVBand="1"/>
      </w:tblPr>
      <w:tblGrid>
        <w:gridCol w:w="3483"/>
        <w:gridCol w:w="3090"/>
        <w:gridCol w:w="3054"/>
      </w:tblGrid>
      <w:tr w:rsidR="008B4B72" w:rsidTr="008B4B72">
        <w:tc>
          <w:tcPr>
            <w:tcW w:w="1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4B72" w:rsidRDefault="008B4B72">
            <w:pPr>
              <w:pStyle w:val="ListParagraph"/>
              <w:spacing w:after="0" w:line="360" w:lineRule="auto"/>
              <w:ind w:left="0"/>
              <w:jc w:val="center"/>
              <w:rPr>
                <w:rFonts w:cs="Times New Roman"/>
                <w:shd w:val="clear" w:color="auto" w:fill="FFFFFF"/>
                <w:lang w:val="uk-UA"/>
              </w:rPr>
            </w:pPr>
            <w:r>
              <w:rPr>
                <w:rFonts w:cs="Times New Roman"/>
                <w:lang w:val="uk-UA"/>
              </w:rPr>
              <w:t xml:space="preserve"> </w:t>
            </w:r>
            <w:r>
              <w:rPr>
                <w:rFonts w:cs="Times New Roman"/>
                <w:shd w:val="clear" w:color="auto" w:fill="FFFFFF"/>
                <w:lang w:val="uk-UA"/>
              </w:rPr>
              <w:t>Показник</w:t>
            </w:r>
          </w:p>
        </w:tc>
        <w:tc>
          <w:tcPr>
            <w:tcW w:w="1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4B72" w:rsidRDefault="008B4B72">
            <w:pPr>
              <w:pStyle w:val="ListParagraph"/>
              <w:spacing w:after="0" w:line="360" w:lineRule="auto"/>
              <w:ind w:left="0"/>
              <w:jc w:val="center"/>
              <w:rPr>
                <w:rFonts w:cs="Times New Roman"/>
                <w:shd w:val="clear" w:color="auto" w:fill="FFFFFF"/>
                <w:lang w:val="uk-UA"/>
              </w:rPr>
            </w:pPr>
            <w:r>
              <w:rPr>
                <w:rFonts w:cs="Times New Roman"/>
                <w:shd w:val="clear" w:color="auto" w:fill="FFFFFF"/>
                <w:lang w:val="uk-UA"/>
              </w:rPr>
              <w:t>Теоретичний потенціал, тис т</w:t>
            </w:r>
          </w:p>
        </w:tc>
        <w:tc>
          <w:tcPr>
            <w:tcW w:w="1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4B72" w:rsidRDefault="008B4B72">
            <w:pPr>
              <w:pStyle w:val="ListParagraph"/>
              <w:spacing w:after="0" w:line="360" w:lineRule="auto"/>
              <w:ind w:left="0"/>
              <w:jc w:val="center"/>
              <w:rPr>
                <w:rFonts w:cs="Times New Roman"/>
                <w:shd w:val="clear" w:color="auto" w:fill="FFFFFF"/>
                <w:lang w:val="uk-UA"/>
              </w:rPr>
            </w:pPr>
            <w:r>
              <w:rPr>
                <w:rFonts w:cs="Times New Roman"/>
                <w:shd w:val="clear" w:color="auto" w:fill="FFFFFF"/>
                <w:lang w:val="uk-UA"/>
              </w:rPr>
              <w:t>Технічно доступний потенціал, тис т</w:t>
            </w:r>
          </w:p>
        </w:tc>
      </w:tr>
      <w:tr w:rsidR="008B4B72" w:rsidTr="008B4B72">
        <w:tc>
          <w:tcPr>
            <w:tcW w:w="1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4B72" w:rsidRDefault="008B4B72">
            <w:pPr>
              <w:pStyle w:val="ListParagraph"/>
              <w:spacing w:after="0" w:line="360" w:lineRule="auto"/>
              <w:ind w:left="0"/>
              <w:rPr>
                <w:rFonts w:cs="Times New Roman"/>
                <w:shd w:val="clear" w:color="auto" w:fill="FFFFFF"/>
                <w:lang w:val="uk-UA"/>
              </w:rPr>
            </w:pPr>
            <w:r>
              <w:rPr>
                <w:rFonts w:cs="Times New Roman"/>
                <w:shd w:val="clear" w:color="auto" w:fill="FFFFFF"/>
                <w:lang w:val="uk-UA"/>
              </w:rPr>
              <w:t>Сільськогосподарські підприємства</w:t>
            </w:r>
          </w:p>
        </w:tc>
        <w:tc>
          <w:tcPr>
            <w:tcW w:w="1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4B72" w:rsidRDefault="008B4B72">
            <w:pPr>
              <w:pStyle w:val="ListParagraph"/>
              <w:spacing w:after="0" w:line="360" w:lineRule="auto"/>
              <w:ind w:left="0"/>
              <w:jc w:val="center"/>
              <w:rPr>
                <w:rFonts w:cs="Times New Roman"/>
                <w:shd w:val="clear" w:color="auto" w:fill="FFFFFF"/>
                <w:lang w:val="uk-UA"/>
              </w:rPr>
            </w:pPr>
            <w:r>
              <w:rPr>
                <w:rFonts w:cs="Times New Roman"/>
                <w:shd w:val="clear" w:color="auto" w:fill="FFFFFF"/>
                <w:lang w:val="uk-UA"/>
              </w:rPr>
              <w:t>293,7</w:t>
            </w:r>
          </w:p>
        </w:tc>
        <w:tc>
          <w:tcPr>
            <w:tcW w:w="1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4B72" w:rsidRDefault="008B4B72">
            <w:pPr>
              <w:pStyle w:val="ListParagraph"/>
              <w:spacing w:after="0" w:line="360" w:lineRule="auto"/>
              <w:ind w:left="0"/>
              <w:jc w:val="center"/>
              <w:rPr>
                <w:rFonts w:cs="Times New Roman"/>
                <w:shd w:val="clear" w:color="auto" w:fill="FFFFFF"/>
              </w:rPr>
            </w:pPr>
            <w:r>
              <w:rPr>
                <w:rFonts w:cs="Times New Roman"/>
                <w:shd w:val="clear" w:color="auto" w:fill="FFFFFF"/>
                <w:lang w:val="uk-UA"/>
              </w:rPr>
              <w:t>26</w:t>
            </w:r>
            <w:r>
              <w:rPr>
                <w:rFonts w:cs="Times New Roman"/>
                <w:shd w:val="clear" w:color="auto" w:fill="FFFFFF"/>
              </w:rPr>
              <w:t>4</w:t>
            </w:r>
            <w:r>
              <w:rPr>
                <w:rFonts w:cs="Times New Roman"/>
                <w:shd w:val="clear" w:color="auto" w:fill="FFFFFF"/>
                <w:lang w:val="uk-UA"/>
              </w:rPr>
              <w:t>,</w:t>
            </w:r>
            <w:r>
              <w:rPr>
                <w:rFonts w:cs="Times New Roman"/>
                <w:shd w:val="clear" w:color="auto" w:fill="FFFFFF"/>
              </w:rPr>
              <w:t>3</w:t>
            </w:r>
          </w:p>
        </w:tc>
      </w:tr>
      <w:tr w:rsidR="008B4B72" w:rsidTr="008B4B72">
        <w:tc>
          <w:tcPr>
            <w:tcW w:w="1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4B72" w:rsidRDefault="008B4B72">
            <w:pPr>
              <w:pStyle w:val="ListParagraph"/>
              <w:spacing w:after="0" w:line="360" w:lineRule="auto"/>
              <w:ind w:left="0"/>
              <w:jc w:val="both"/>
              <w:rPr>
                <w:rFonts w:cs="Times New Roman"/>
                <w:shd w:val="clear" w:color="auto" w:fill="FFFFFF"/>
              </w:rPr>
            </w:pPr>
            <w:r>
              <w:rPr>
                <w:rFonts w:cs="Times New Roman"/>
                <w:shd w:val="clear" w:color="auto" w:fill="FFFFFF"/>
              </w:rPr>
              <w:t>Господарства населення</w:t>
            </w:r>
          </w:p>
        </w:tc>
        <w:tc>
          <w:tcPr>
            <w:tcW w:w="1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4B72" w:rsidRDefault="008B4B72">
            <w:pPr>
              <w:pStyle w:val="ListParagraph"/>
              <w:spacing w:after="0" w:line="360" w:lineRule="auto"/>
              <w:ind w:left="0"/>
              <w:jc w:val="center"/>
              <w:rPr>
                <w:rFonts w:cs="Times New Roman"/>
                <w:shd w:val="clear" w:color="auto" w:fill="FFFFFF"/>
              </w:rPr>
            </w:pPr>
            <w:r>
              <w:rPr>
                <w:rFonts w:cs="Times New Roman"/>
                <w:shd w:val="clear" w:color="auto" w:fill="FFFFFF"/>
              </w:rPr>
              <w:t>326</w:t>
            </w:r>
            <w:r>
              <w:rPr>
                <w:rFonts w:cs="Times New Roman"/>
                <w:shd w:val="clear" w:color="auto" w:fill="FFFFFF"/>
                <w:lang w:val="uk-UA"/>
              </w:rPr>
              <w:t>,</w:t>
            </w:r>
            <w:r>
              <w:rPr>
                <w:rFonts w:cs="Times New Roman"/>
                <w:shd w:val="clear" w:color="auto" w:fill="FFFFFF"/>
              </w:rPr>
              <w:t>0</w:t>
            </w:r>
          </w:p>
        </w:tc>
        <w:tc>
          <w:tcPr>
            <w:tcW w:w="1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4B72" w:rsidRDefault="008B4B72">
            <w:pPr>
              <w:pStyle w:val="ListParagraph"/>
              <w:spacing w:after="0" w:line="360" w:lineRule="auto"/>
              <w:ind w:left="0"/>
              <w:jc w:val="center"/>
              <w:rPr>
                <w:rFonts w:cs="Times New Roman"/>
                <w:shd w:val="clear" w:color="auto" w:fill="FFFFFF"/>
              </w:rPr>
            </w:pPr>
            <w:r>
              <w:rPr>
                <w:rFonts w:cs="Times New Roman"/>
                <w:shd w:val="clear" w:color="auto" w:fill="FFFFFF"/>
              </w:rPr>
              <w:t>293</w:t>
            </w:r>
            <w:r>
              <w:rPr>
                <w:rFonts w:cs="Times New Roman"/>
                <w:shd w:val="clear" w:color="auto" w:fill="FFFFFF"/>
                <w:lang w:val="uk-UA"/>
              </w:rPr>
              <w:t>,</w:t>
            </w:r>
            <w:r>
              <w:rPr>
                <w:rFonts w:cs="Times New Roman"/>
                <w:shd w:val="clear" w:color="auto" w:fill="FFFFFF"/>
              </w:rPr>
              <w:t>4</w:t>
            </w:r>
          </w:p>
        </w:tc>
      </w:tr>
      <w:tr w:rsidR="008B4B72" w:rsidTr="008B4B72">
        <w:tc>
          <w:tcPr>
            <w:tcW w:w="1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4B72" w:rsidRDefault="008B4B72">
            <w:pPr>
              <w:pStyle w:val="ListParagraph"/>
              <w:spacing w:after="0" w:line="360" w:lineRule="auto"/>
              <w:ind w:left="0"/>
              <w:rPr>
                <w:rFonts w:cs="Times New Roman"/>
                <w:shd w:val="clear" w:color="auto" w:fill="FFFFFF"/>
              </w:rPr>
            </w:pPr>
            <w:r>
              <w:rPr>
                <w:rFonts w:cs="Times New Roman"/>
                <w:shd w:val="clear" w:color="auto" w:fill="FFFFFF"/>
              </w:rPr>
              <w:t>Всі категорії господарств</w:t>
            </w:r>
          </w:p>
        </w:tc>
        <w:tc>
          <w:tcPr>
            <w:tcW w:w="1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4B72" w:rsidRDefault="008B4B72">
            <w:pPr>
              <w:pStyle w:val="ListParagraph"/>
              <w:spacing w:after="0" w:line="360" w:lineRule="auto"/>
              <w:ind w:left="0"/>
              <w:jc w:val="center"/>
              <w:rPr>
                <w:rFonts w:cs="Times New Roman"/>
                <w:shd w:val="clear" w:color="auto" w:fill="FFFFFF"/>
              </w:rPr>
            </w:pPr>
            <w:r>
              <w:rPr>
                <w:rFonts w:cs="Times New Roman"/>
                <w:shd w:val="clear" w:color="auto" w:fill="FFFFFF"/>
              </w:rPr>
              <w:t>619</w:t>
            </w:r>
            <w:r>
              <w:rPr>
                <w:rFonts w:cs="Times New Roman"/>
                <w:shd w:val="clear" w:color="auto" w:fill="FFFFFF"/>
                <w:lang w:val="uk-UA"/>
              </w:rPr>
              <w:t>,</w:t>
            </w:r>
            <w:r>
              <w:rPr>
                <w:rFonts w:cs="Times New Roman"/>
                <w:shd w:val="clear" w:color="auto" w:fill="FFFFFF"/>
              </w:rPr>
              <w:t>7</w:t>
            </w:r>
          </w:p>
        </w:tc>
        <w:tc>
          <w:tcPr>
            <w:tcW w:w="1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4B72" w:rsidRDefault="008B4B72">
            <w:pPr>
              <w:pStyle w:val="ListParagraph"/>
              <w:spacing w:after="0" w:line="360" w:lineRule="auto"/>
              <w:ind w:left="0"/>
              <w:jc w:val="center"/>
              <w:rPr>
                <w:rFonts w:cs="Times New Roman"/>
                <w:shd w:val="clear" w:color="auto" w:fill="FFFFFF"/>
              </w:rPr>
            </w:pPr>
            <w:r>
              <w:rPr>
                <w:rFonts w:cs="Times New Roman"/>
                <w:shd w:val="clear" w:color="auto" w:fill="FFFFFF"/>
              </w:rPr>
              <w:t>557</w:t>
            </w:r>
            <w:r>
              <w:rPr>
                <w:rFonts w:cs="Times New Roman"/>
                <w:shd w:val="clear" w:color="auto" w:fill="FFFFFF"/>
                <w:lang w:val="uk-UA"/>
              </w:rPr>
              <w:t>,</w:t>
            </w:r>
            <w:r>
              <w:rPr>
                <w:rFonts w:cs="Times New Roman"/>
                <w:shd w:val="clear" w:color="auto" w:fill="FFFFFF"/>
              </w:rPr>
              <w:t>7</w:t>
            </w:r>
          </w:p>
        </w:tc>
      </w:tr>
    </w:tbl>
    <w:p w:rsidR="008B4B72" w:rsidRDefault="008B4B72" w:rsidP="008B4B72">
      <w:pPr>
        <w:pStyle w:val="ListParagraph"/>
        <w:spacing w:after="0" w:line="360" w:lineRule="auto"/>
        <w:ind w:left="0" w:firstLine="567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* - дослідження автора</w:t>
      </w:r>
    </w:p>
    <w:p w:rsidR="008B4B72" w:rsidRDefault="008B4B72" w:rsidP="008B4B7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</w:rPr>
      </w:pPr>
    </w:p>
    <w:p w:rsidR="008B4B72" w:rsidRPr="008B4B72" w:rsidRDefault="001322BC" w:rsidP="008B4B7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Розрахунки</w:t>
      </w:r>
      <w:r w:rsidR="008B4B72" w:rsidRPr="008B4B72">
        <w:rPr>
          <w:rFonts w:ascii="Times New Roman" w:hAnsi="Times New Roman" w:cs="Times New Roman"/>
          <w:sz w:val="28"/>
          <w:szCs w:val="28"/>
        </w:rPr>
        <w:t xml:space="preserve"> дозволяють зробити висновок</w:t>
      </w:r>
      <w:r>
        <w:rPr>
          <w:rFonts w:ascii="Times New Roman" w:hAnsi="Times New Roman" w:cs="Times New Roman"/>
          <w:sz w:val="28"/>
          <w:szCs w:val="28"/>
        </w:rPr>
        <w:t xml:space="preserve">, що </w:t>
      </w:r>
      <w:r w:rsidR="008B4B72" w:rsidRPr="008B4B72">
        <w:rPr>
          <w:rFonts w:ascii="Times New Roman" w:hAnsi="Times New Roman" w:cs="Times New Roman"/>
          <w:sz w:val="28"/>
          <w:szCs w:val="28"/>
        </w:rPr>
        <w:t xml:space="preserve">теоретичний потенціал деревної біомаси від обрізки та викорчовування багаторічних насаджень галузі садівництва в Україні </w:t>
      </w:r>
      <w:r>
        <w:rPr>
          <w:rFonts w:ascii="Times New Roman" w:hAnsi="Times New Roman" w:cs="Times New Roman"/>
          <w:sz w:val="28"/>
          <w:szCs w:val="28"/>
        </w:rPr>
        <w:t xml:space="preserve">становить </w:t>
      </w:r>
      <w:r w:rsidR="008B4B72" w:rsidRPr="008B4B72">
        <w:rPr>
          <w:rFonts w:ascii="Times New Roman" w:hAnsi="Times New Roman" w:cs="Times New Roman"/>
          <w:sz w:val="28"/>
          <w:szCs w:val="28"/>
        </w:rPr>
        <w:t>619,7 тис тонн. Оскільки коефіцієнт доступності для деревних відходів встановлений на рівні 0,9, то технічно доступний потенціал деревної біомаси від обрізки та викорчовування багаторічних насаджень в Україні по всіх категоріях господарств становитиме 557,7 тис тонн.</w:t>
      </w:r>
    </w:p>
    <w:p w:rsidR="008B4B72" w:rsidRPr="008B4B72" w:rsidRDefault="008B4B72" w:rsidP="008B4B7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B4B72">
        <w:rPr>
          <w:rFonts w:ascii="Times New Roman" w:hAnsi="Times New Roman" w:cs="Times New Roman"/>
          <w:sz w:val="28"/>
          <w:szCs w:val="28"/>
        </w:rPr>
        <w:t xml:space="preserve">Якщо розглядати обрізки та продукти викорчовування багаторічних насаджень в садівництві як біовідходи, то можна стверджувати, що в Україні щороку утворюватиметься маса деревних відходів від діяльності галузі садівництва обсягом 619,7 тис тонн. Тому раціональне використання </w:t>
      </w:r>
      <w:r w:rsidRPr="008B4B7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біомаси </w:t>
      </w:r>
      <w:r w:rsidRPr="008B4B72">
        <w:rPr>
          <w:rFonts w:ascii="Times New Roman" w:hAnsi="Times New Roman" w:cs="Times New Roman"/>
          <w:sz w:val="28"/>
          <w:szCs w:val="28"/>
        </w:rPr>
        <w:t>деревини від обрізки та викорчовування багаторічних насаджень</w:t>
      </w:r>
      <w:r w:rsidRPr="008B4B7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відходів сприятимуть очищенню та запобіганню забрудненню навколишнього природного середовища, що</w:t>
      </w:r>
      <w:r w:rsidR="001322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є важливим екологічним ефектом та будуть запобігати кліматичним змінам.</w:t>
      </w:r>
      <w:bookmarkStart w:id="0" w:name="_GoBack"/>
      <w:bookmarkEnd w:id="0"/>
    </w:p>
    <w:p w:rsidR="008B4B72" w:rsidRPr="008B4B72" w:rsidRDefault="008B4B72" w:rsidP="008B4B7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B4B72">
        <w:rPr>
          <w:rFonts w:ascii="Times New Roman" w:hAnsi="Times New Roman" w:cs="Times New Roman"/>
          <w:i/>
          <w:sz w:val="28"/>
          <w:szCs w:val="28"/>
        </w:rPr>
        <w:t>Енергетичний ефект</w:t>
      </w:r>
      <w:r w:rsidRPr="008B4B72">
        <w:rPr>
          <w:rFonts w:ascii="Times New Roman" w:hAnsi="Times New Roman" w:cs="Times New Roman"/>
          <w:sz w:val="28"/>
          <w:szCs w:val="28"/>
        </w:rPr>
        <w:t xml:space="preserve"> деревної біомаси від обрізки та викорчовування багаторічних насаджень визначаємо через теплоту згоряння 10 МДж/кг (природня вологість). Відповідно до наших досліджень в Україні обсяг енергетичного потенціалу від біовідходів галузі садівництва складає 191,0 тис т ум палива в рік, які успішно можуть використовувати фермери для власних потреб (рис.</w:t>
      </w:r>
      <w:r>
        <w:rPr>
          <w:rFonts w:ascii="Times New Roman" w:hAnsi="Times New Roman" w:cs="Times New Roman"/>
          <w:sz w:val="28"/>
          <w:szCs w:val="28"/>
        </w:rPr>
        <w:t>2</w:t>
      </w:r>
      <w:r w:rsidRPr="008B4B72">
        <w:rPr>
          <w:rFonts w:ascii="Times New Roman" w:hAnsi="Times New Roman" w:cs="Times New Roman"/>
          <w:sz w:val="28"/>
          <w:szCs w:val="28"/>
        </w:rPr>
        <w:t>).</w:t>
      </w:r>
    </w:p>
    <w:p w:rsidR="008B4B72" w:rsidRDefault="008B4B72" w:rsidP="008B4B72">
      <w:pPr>
        <w:pStyle w:val="ListParagraph"/>
        <w:spacing w:after="0" w:line="360" w:lineRule="auto"/>
        <w:ind w:left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val="uk-UA" w:eastAsia="uk-UA"/>
        </w:rPr>
        <w:drawing>
          <wp:inline distT="0" distB="0" distL="0" distR="0">
            <wp:extent cx="6124575" cy="1943100"/>
            <wp:effectExtent l="0" t="0" r="0" b="0"/>
            <wp:docPr id="324" name="Chart 32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8B4B72" w:rsidRDefault="008B4B72" w:rsidP="008B4B72">
      <w:pPr>
        <w:pStyle w:val="ListParagraph"/>
        <w:spacing w:after="0" w:line="360" w:lineRule="auto"/>
        <w:ind w:left="0" w:firstLine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Рисунок 2 – Енергетичний потенціал деревної біомаси від обрізки та викорчовування багаторічних насаджень в садівництві в Україні, </w:t>
      </w:r>
    </w:p>
    <w:p w:rsidR="008B4B72" w:rsidRDefault="008B4B72" w:rsidP="008B4B72">
      <w:pPr>
        <w:pStyle w:val="ListParagraph"/>
        <w:spacing w:after="0" w:line="360" w:lineRule="auto"/>
        <w:ind w:left="0" w:firstLine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тис т ум палива </w:t>
      </w:r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r>
        <w:rPr>
          <w:rFonts w:ascii="Times New Roman" w:hAnsi="Times New Roman" w:cs="Times New Roman"/>
          <w:sz w:val="24"/>
          <w:szCs w:val="24"/>
          <w:lang w:val="uk-UA"/>
        </w:rPr>
        <w:t>дослідження автора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8B4B72" w:rsidRPr="008B4B72" w:rsidRDefault="008B4B72" w:rsidP="008B4B7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B4B72">
        <w:rPr>
          <w:rFonts w:ascii="Times New Roman" w:hAnsi="Times New Roman" w:cs="Times New Roman"/>
          <w:sz w:val="28"/>
          <w:szCs w:val="28"/>
        </w:rPr>
        <w:t>Враховуючи той факт, що деревна біомаса від обрізки та викорчовування багаторічних насаджень в Україні на сьогоднішній день поки що не розглядається в якості товарного продукту і, як правило, просто спалюється на краю поля, а галузь садівництва має великі перспективи розвитку, то її енергетичне застосування з часом може стати вагомим інструментом заміщення викопних видів палива.</w:t>
      </w:r>
    </w:p>
    <w:p w:rsidR="008B4B72" w:rsidRPr="008B4B72" w:rsidRDefault="008B4B72" w:rsidP="008B4B72">
      <w:pPr>
        <w:pStyle w:val="ListParagraph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4B72">
        <w:rPr>
          <w:rFonts w:ascii="Times New Roman" w:hAnsi="Times New Roman" w:cs="Times New Roman"/>
          <w:i/>
          <w:sz w:val="28"/>
          <w:szCs w:val="28"/>
          <w:lang w:val="uk-UA"/>
        </w:rPr>
        <w:t>Економічний ефект.</w:t>
      </w:r>
      <w:r w:rsidRPr="008B4B72">
        <w:rPr>
          <w:rFonts w:ascii="Times New Roman" w:hAnsi="Times New Roman" w:cs="Times New Roman"/>
          <w:sz w:val="28"/>
          <w:szCs w:val="28"/>
          <w:lang w:val="uk-UA"/>
        </w:rPr>
        <w:t xml:space="preserve"> Використання біовідходів від обрізки та викорчовування багаторічних насаджень на підприємствах має також економічний ефект, який полягає в:</w:t>
      </w:r>
    </w:p>
    <w:p w:rsidR="008B4B72" w:rsidRPr="008B4B72" w:rsidRDefault="008B4B72" w:rsidP="008B4B72">
      <w:pPr>
        <w:pStyle w:val="ListParagraph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B4B72">
        <w:rPr>
          <w:rFonts w:ascii="Times New Roman" w:hAnsi="Times New Roman" w:cs="Times New Roman"/>
          <w:sz w:val="28"/>
          <w:szCs w:val="28"/>
          <w:lang w:val="uk-UA"/>
        </w:rPr>
        <w:t>скороченні залежності від покупних енергоносіїв;</w:t>
      </w:r>
    </w:p>
    <w:p w:rsidR="008B4B72" w:rsidRPr="008B4B72" w:rsidRDefault="008B4B72" w:rsidP="008B4B72">
      <w:pPr>
        <w:pStyle w:val="ListParagraph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B4B72">
        <w:rPr>
          <w:rFonts w:ascii="Times New Roman" w:hAnsi="Times New Roman" w:cs="Times New Roman"/>
          <w:sz w:val="28"/>
          <w:szCs w:val="28"/>
          <w:lang w:val="uk-UA"/>
        </w:rPr>
        <w:t>зниженні собівартості сільськогосподарської продукції;</w:t>
      </w:r>
    </w:p>
    <w:p w:rsidR="008B4B72" w:rsidRPr="008B4B72" w:rsidRDefault="008B4B72" w:rsidP="008B4B72">
      <w:pPr>
        <w:pStyle w:val="ListParagraph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B4B72">
        <w:rPr>
          <w:rFonts w:ascii="Times New Roman" w:hAnsi="Times New Roman" w:cs="Times New Roman"/>
          <w:sz w:val="28"/>
          <w:szCs w:val="28"/>
          <w:lang w:val="uk-UA"/>
        </w:rPr>
        <w:t>освоєнні виробництва нових видів продукції;</w:t>
      </w:r>
    </w:p>
    <w:p w:rsidR="008B4B72" w:rsidRPr="008B4B72" w:rsidRDefault="008B4B72" w:rsidP="008B4B72">
      <w:pPr>
        <w:pStyle w:val="ListParagraph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B4B72">
        <w:rPr>
          <w:rFonts w:ascii="Times New Roman" w:hAnsi="Times New Roman" w:cs="Times New Roman"/>
          <w:sz w:val="28"/>
          <w:szCs w:val="28"/>
          <w:lang w:val="uk-UA"/>
        </w:rPr>
        <w:t>виході на нові ринки.</w:t>
      </w:r>
    </w:p>
    <w:p w:rsidR="008B4B72" w:rsidRPr="008B4B72" w:rsidRDefault="008B4B72" w:rsidP="008B4B7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B4B72">
        <w:rPr>
          <w:rFonts w:ascii="Times New Roman" w:hAnsi="Times New Roman" w:cs="Times New Roman"/>
          <w:sz w:val="28"/>
          <w:szCs w:val="28"/>
        </w:rPr>
        <w:t xml:space="preserve">Використовуючи методику із застосуванням вартісного виразу нафтового еквіваленту однієї тонни умовного палива, ми розрахували, що економічний потенціал деревної біомаси від обрізки та викорчовування багаторічних насаджень в садівництві в Україні складає 46,385 млн дол. США в рік або 1229,2 млн грн. </w:t>
      </w:r>
    </w:p>
    <w:p w:rsidR="008B4B72" w:rsidRDefault="008B4B72" w:rsidP="008B4B72">
      <w:pPr>
        <w:pStyle w:val="ListParagraph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Отже можна підсумувати, що в Україні склалися сприятливі умови для розвитку біоенергетики із використанням біомаси </w:t>
      </w:r>
      <w:r>
        <w:rPr>
          <w:rFonts w:ascii="Times New Roman" w:hAnsi="Times New Roman" w:cs="Times New Roman"/>
          <w:sz w:val="28"/>
          <w:szCs w:val="28"/>
          <w:lang w:val="uk-UA"/>
        </w:rPr>
        <w:t>з деревини від обрізки та викорчовування багаторічних насаджень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що полягають в:</w:t>
      </w:r>
    </w:p>
    <w:p w:rsidR="008B4B72" w:rsidRDefault="008B4B72" w:rsidP="008B4B72">
      <w:pPr>
        <w:pStyle w:val="ListParagraph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значному потенціалі деревної біомаси </w:t>
      </w:r>
      <w:r>
        <w:rPr>
          <w:rFonts w:ascii="Times New Roman" w:hAnsi="Times New Roman" w:cs="Times New Roman"/>
          <w:sz w:val="28"/>
          <w:szCs w:val="28"/>
          <w:lang w:val="uk-UA"/>
        </w:rPr>
        <w:t>від обрізки та викорчовування багаторічних насаджень;</w:t>
      </w:r>
    </w:p>
    <w:p w:rsidR="008B4B72" w:rsidRDefault="008B4B72" w:rsidP="008B4B72">
      <w:pPr>
        <w:pStyle w:val="ListParagraph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наявності великої кількості споживачів біопалива;</w:t>
      </w:r>
    </w:p>
    <w:p w:rsidR="008B4B72" w:rsidRDefault="008B4B72" w:rsidP="008B4B72">
      <w:pPr>
        <w:pStyle w:val="ListParagraph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підтримці держави політики енергозбереження в країні та диверсифікації шляхів постачання біопалива;</w:t>
      </w:r>
    </w:p>
    <w:p w:rsidR="008B4B72" w:rsidRDefault="008B4B72" w:rsidP="008B4B72">
      <w:pPr>
        <w:pStyle w:val="ListParagraph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наявності вітчизняного обладнання для збору, подрібнення та спалювання деревини  в Україні.</w:t>
      </w:r>
    </w:p>
    <w:p w:rsidR="008B4B72" w:rsidRDefault="008B4B72" w:rsidP="008B4B72">
      <w:pPr>
        <w:pStyle w:val="ListParagraph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 xml:space="preserve">Разом з тим в Україні існують і значні бар’єри у розвитку енергетики з використанням </w:t>
      </w:r>
      <w:r>
        <w:rPr>
          <w:rFonts w:ascii="Times New Roman" w:hAnsi="Times New Roman" w:cs="Times New Roman"/>
          <w:sz w:val="28"/>
          <w:szCs w:val="28"/>
          <w:lang w:val="uk-UA"/>
        </w:rPr>
        <w:t>деревної біомаси сільськогосподарських багаторічних насаджень, утворених від їх обрізки та викорчовування. За дослідженнями Біоенергетичної асоціації України, основні перешкоди можна класифікувати за наступними групами:</w:t>
      </w:r>
    </w:p>
    <w:p w:rsidR="008B4B72" w:rsidRDefault="008B4B72" w:rsidP="008B4B72">
      <w:pPr>
        <w:pStyle w:val="ListParagraph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технічні та організаційні – потреба у додатковому технологічному обладнанні, на всіх етапах виробництва деревної маси починаючи від обрізки та збирання та закінчуючи її використанням; проблеми в організації логістичного ланцюжка; незначна кількість відходів в одного постачальника, а тому необхідність об’єднуватись в кооперативи; нерозвиненість інфраструктури в регіонах;</w:t>
      </w:r>
    </w:p>
    <w:p w:rsidR="008B4B72" w:rsidRDefault="008B4B72" w:rsidP="008B4B72">
      <w:pPr>
        <w:pStyle w:val="ListParagraph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нормативні – відсутність державних стандартів на тверде біопаливо; адміністративні бар’єри при створенні бізнесу з продажу деревних відходів як палива;</w:t>
      </w:r>
    </w:p>
    <w:p w:rsidR="008B4B72" w:rsidRDefault="008B4B72" w:rsidP="008B4B72">
      <w:pPr>
        <w:pStyle w:val="ListParagraph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економічні та фінансові – потреби у значних інвестиціях для придбання обладнання; високі кредитні ставки та висока собівартість готового біопалива;</w:t>
      </w:r>
    </w:p>
    <w:p w:rsidR="008B4B72" w:rsidRDefault="008B4B72" w:rsidP="008B4B72">
      <w:pPr>
        <w:pStyle w:val="ListParagraph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структурні – несформований в Україні ринок біомаси як палива; конкуренція з тіньовим ринком дров; відсутність сервісних компаній, які надають послуги зі збору, подрібнення та транспортування біомаси; державна монополія на постачання деревного біопалива існуючим споживачам;</w:t>
      </w:r>
    </w:p>
    <w:p w:rsidR="008B4B72" w:rsidRDefault="008B4B72" w:rsidP="008B4B72">
      <w:pPr>
        <w:pStyle w:val="ListParagraph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культурні – складність узгодження діяльності між всіма учасниками виробничого ланцюга; небажання фермерів об’єднуватись у сервісні кооперативи та нерозуміння ними економічних переваг від продажу власних відходів тощо.</w:t>
      </w:r>
    </w:p>
    <w:p w:rsidR="000B2C57" w:rsidRPr="008B4B72" w:rsidRDefault="008B4B72" w:rsidP="008B4B72">
      <w:pPr>
        <w:pStyle w:val="ListParagraph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підсумовуючи вищенаведене, можна зробити висновок , що </w:t>
      </w:r>
      <w:r w:rsidRPr="008B4B7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B2C57" w:rsidRPr="008B4B72">
        <w:rPr>
          <w:rFonts w:ascii="Times New Roman" w:hAnsi="Times New Roman" w:cs="Times New Roman"/>
          <w:sz w:val="28"/>
          <w:szCs w:val="28"/>
          <w:lang w:val="uk-UA"/>
        </w:rPr>
        <w:t xml:space="preserve">иробництво біоенергії в сільськогосподарських підприємствах вирішує ряд проблем аграрного виробництва: зменшується забруднення навколишнього природного середовища небезпечними речовинами, в тому числі рідкими та твердими відходами діяльності тваринницьких ферм; створюються нові </w:t>
      </w:r>
      <w:r w:rsidR="000B2C57" w:rsidRPr="008B4B72">
        <w:rPr>
          <w:rFonts w:ascii="Times New Roman" w:hAnsi="Times New Roman" w:cs="Times New Roman"/>
          <w:sz w:val="28"/>
          <w:szCs w:val="28"/>
          <w:lang w:val="uk-UA"/>
        </w:rPr>
        <w:lastRenderedPageBreak/>
        <w:t>можливості одержання додаткових грошових доходів; забезпечується продовольча та енергетична безпека держави; створюються нові робочі місця; розвиваються галузі біотехнологія та машинобудування, зменшується залежність сільськогосподарських виробників від імпорту палива тощо.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Глобальним результатом є створення умов для запобігання зміні клімату.</w:t>
      </w:r>
    </w:p>
    <w:p w:rsidR="000B2C57" w:rsidRDefault="000B2C57" w:rsidP="000B2C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B2C57" w:rsidRPr="000B2C57" w:rsidRDefault="000B2C57" w:rsidP="000B2C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B2C57" w:rsidRPr="000B2C57" w:rsidRDefault="000B2C57" w:rsidP="000B2C5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0B2C57" w:rsidRPr="000B2C57" w:rsidSect="000B2C57">
      <w:pgSz w:w="11906" w:h="16838"/>
      <w:pgMar w:top="1134" w:right="851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1838B9"/>
    <w:multiLevelType w:val="hybridMultilevel"/>
    <w:tmpl w:val="BDB8B99A"/>
    <w:lvl w:ilvl="0" w:tplc="8EACDE38">
      <w:numFmt w:val="bullet"/>
      <w:lvlText w:val="-"/>
      <w:lvlJc w:val="left"/>
      <w:pPr>
        <w:ind w:left="927" w:hanging="360"/>
      </w:pPr>
      <w:rPr>
        <w:rFonts w:ascii="Times New Roman" w:eastAsiaTheme="minorHAnsi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" w15:restartNumberingAfterBreak="0">
    <w:nsid w:val="6D0815FF"/>
    <w:multiLevelType w:val="hybridMultilevel"/>
    <w:tmpl w:val="BFBAD728"/>
    <w:lvl w:ilvl="0" w:tplc="1F985D24">
      <w:numFmt w:val="bullet"/>
      <w:lvlText w:val="-"/>
      <w:lvlJc w:val="left"/>
      <w:pPr>
        <w:ind w:left="927" w:hanging="360"/>
      </w:pPr>
      <w:rPr>
        <w:rFonts w:ascii="Times New Roman" w:eastAsiaTheme="minorHAnsi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" w15:restartNumberingAfterBreak="0">
    <w:nsid w:val="785E03F3"/>
    <w:multiLevelType w:val="hybridMultilevel"/>
    <w:tmpl w:val="AB68693E"/>
    <w:lvl w:ilvl="0" w:tplc="66C2A244">
      <w:start w:val="1"/>
      <w:numFmt w:val="decimal"/>
      <w:lvlText w:val="%1)"/>
      <w:lvlJc w:val="left"/>
      <w:pPr>
        <w:ind w:left="927" w:hanging="360"/>
      </w:p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2C57"/>
    <w:rsid w:val="000B2C57"/>
    <w:rsid w:val="001322BC"/>
    <w:rsid w:val="00667A16"/>
    <w:rsid w:val="008B4B72"/>
    <w:rsid w:val="009373A0"/>
    <w:rsid w:val="00A446B1"/>
    <w:rsid w:val="00B04F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030692"/>
  <w15:chartTrackingRefBased/>
  <w15:docId w15:val="{68B228AF-0216-480E-A6E0-DCF798A507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B2C57"/>
    <w:pPr>
      <w:spacing w:after="0" w:line="240" w:lineRule="auto"/>
    </w:pPr>
    <w:rPr>
      <w:rFonts w:ascii="Times New Roman" w:eastAsia="Times New Roman" w:hAnsi="Times New Roman" w:cstheme="majorBidi"/>
      <w:sz w:val="28"/>
      <w:szCs w:val="28"/>
      <w:lang w:val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67A16"/>
    <w:pPr>
      <w:spacing w:after="200" w:line="276" w:lineRule="auto"/>
      <w:ind w:left="720"/>
      <w:contextualSpacing/>
    </w:pPr>
    <w:rPr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36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5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65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42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1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6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2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111\Desktop\&#1072;&#1083;&#1110;&#1085;&#1072;-&#1076;&#1086;&#1082;&#1090;&#1086;&#1088;&#1089;&#1100;&#1082;&#1072;\&#1076;&#1080;&#1089;&#1077;&#1088;-&#1072;&#1083;&#1110;&#1085;&#1072;\&#1088;&#1086;&#1079;&#1076;&#1110;&#1083;%205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0"/>
    <c:view3D>
      <c:rotX val="75"/>
      <c:rotY val="0"/>
      <c:rAngAx val="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0"/>
          <c:y val="0.1142291781428556"/>
          <c:w val="1"/>
          <c:h val="0.77616668286834511"/>
        </c:manualLayout>
      </c:layout>
      <c:pie3DChart>
        <c:varyColors val="1"/>
        <c:ser>
          <c:idx val="0"/>
          <c:order val="0"/>
          <c:explosion val="25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біоенергетика!$A$48:$A$49</c:f>
              <c:strCache>
                <c:ptCount val="2"/>
                <c:pt idx="0">
                  <c:v>сільськогосподарські підприємства</c:v>
                </c:pt>
                <c:pt idx="1">
                  <c:v>господарства населення</c:v>
                </c:pt>
              </c:strCache>
            </c:strRef>
          </c:cat>
          <c:val>
            <c:numRef>
              <c:f>біоенергетика!$B$48:$B$49</c:f>
              <c:numCache>
                <c:formatCode>General</c:formatCode>
                <c:ptCount val="2"/>
                <c:pt idx="0">
                  <c:v>90.5</c:v>
                </c:pt>
                <c:pt idx="1">
                  <c:v>100.5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7F6-48FF-977F-983090A5E80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legend>
      <c:legendPos val="b"/>
      <c:overlay val="0"/>
    </c:legend>
    <c:plotVisOnly val="1"/>
    <c:dispBlanksAs val="gap"/>
    <c:showDLblsOverMax val="0"/>
  </c:chart>
  <c:spPr>
    <a:ln>
      <a:noFill/>
    </a:ln>
  </c:spPr>
  <c:txPr>
    <a:bodyPr/>
    <a:lstStyle/>
    <a:p>
      <a:pPr>
        <a:defRPr sz="1200">
          <a:latin typeface="Times New Roman" pitchFamily="18" charset="0"/>
          <a:cs typeface="Times New Roman" pitchFamily="18" charset="0"/>
        </a:defRPr>
      </a:pPr>
      <a:endParaRPr lang="uk-UA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9</Pages>
  <Words>8017</Words>
  <Characters>4571</Characters>
  <Application>Microsoft Office Word</Application>
  <DocSecurity>0</DocSecurity>
  <Lines>38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2021-04-16T17:25:00Z</dcterms:created>
  <dcterms:modified xsi:type="dcterms:W3CDTF">2021-04-21T16:24:00Z</dcterms:modified>
</cp:coreProperties>
</file>