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4F2" w:rsidRPr="0084783D" w:rsidRDefault="00E00E5B" w:rsidP="00F724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E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ТЕНДЕНЦІЇ КОРИГУВАННЯ МАРКЕТИНГОВИХ СТРАТЕГІЙ МІЖНАРОДНИХ КОМПАНІЙ НА РИНКУ РФ В УМОВАХ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РОСІЙСЬКО-УКРАЇНСЬКОЇ ВІЙНИ</w:t>
      </w:r>
    </w:p>
    <w:p w:rsidR="001D757C" w:rsidRPr="001D757C" w:rsidRDefault="001D757C" w:rsidP="001D757C">
      <w:pPr>
        <w:widowControl w:val="0"/>
        <w:spacing w:after="0" w:line="360" w:lineRule="auto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 w:rsidRPr="001D757C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Пенькова О.Г.</w:t>
      </w:r>
    </w:p>
    <w:p w:rsidR="001D757C" w:rsidRPr="008012D1" w:rsidRDefault="001D757C" w:rsidP="001D757C">
      <w:pPr>
        <w:widowControl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012D1">
        <w:rPr>
          <w:rFonts w:ascii="Times New Roman" w:hAnsi="Times New Roman" w:cs="Times New Roman"/>
          <w:sz w:val="28"/>
          <w:szCs w:val="28"/>
          <w:lang w:val="uk-UA"/>
        </w:rPr>
        <w:t xml:space="preserve">д-р </w:t>
      </w:r>
      <w:proofErr w:type="spellStart"/>
      <w:r w:rsidRPr="008012D1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8012D1">
        <w:rPr>
          <w:rFonts w:ascii="Times New Roman" w:hAnsi="Times New Roman" w:cs="Times New Roman"/>
          <w:sz w:val="28"/>
          <w:szCs w:val="28"/>
          <w:lang w:val="uk-UA"/>
        </w:rPr>
        <w:t>. наук, доцент</w:t>
      </w:r>
    </w:p>
    <w:p w:rsidR="00E00E5B" w:rsidRDefault="001D757C" w:rsidP="001D757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012D1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1D757C" w:rsidRDefault="001D757C" w:rsidP="00F724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24D2" w:rsidRDefault="006115FB" w:rsidP="001D75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15FB">
        <w:rPr>
          <w:rFonts w:ascii="Times New Roman" w:hAnsi="Times New Roman" w:cs="Times New Roman"/>
          <w:sz w:val="28"/>
          <w:szCs w:val="28"/>
          <w:lang w:val="uk-UA"/>
        </w:rPr>
        <w:t xml:space="preserve">Повномасштабне </w:t>
      </w:r>
      <w:r w:rsidR="009B1ABE">
        <w:rPr>
          <w:rFonts w:ascii="Times New Roman" w:hAnsi="Times New Roman" w:cs="Times New Roman"/>
          <w:sz w:val="28"/>
          <w:szCs w:val="28"/>
          <w:lang w:val="uk-UA"/>
        </w:rPr>
        <w:t xml:space="preserve">російське військове вторгнення в Україну 24 лютого 2022 року змусила міжнародні компанії, які діяли на ринку країни-агресора, терміново переглядати власні маркетингові стратегії. 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Неправильна оцінка рівня політичного ризику від продовження співпраці з </w:t>
      </w:r>
      <w:proofErr w:type="spellStart"/>
      <w:r w:rsidR="003E7772">
        <w:rPr>
          <w:rFonts w:ascii="Times New Roman" w:hAnsi="Times New Roman" w:cs="Times New Roman"/>
          <w:sz w:val="28"/>
          <w:szCs w:val="28"/>
          <w:lang w:val="uk-UA"/>
        </w:rPr>
        <w:t>росією</w:t>
      </w:r>
      <w:proofErr w:type="spellEnd"/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в умовах даного військового конфлікту змусила компанії робити надскладний вибір між фінансовими та </w:t>
      </w:r>
      <w:proofErr w:type="spellStart"/>
      <w:r w:rsidR="003E7772">
        <w:rPr>
          <w:rFonts w:ascii="Times New Roman" w:hAnsi="Times New Roman" w:cs="Times New Roman"/>
          <w:sz w:val="28"/>
          <w:szCs w:val="28"/>
          <w:lang w:val="uk-UA"/>
        </w:rPr>
        <w:t>репутаційними</w:t>
      </w:r>
      <w:proofErr w:type="spellEnd"/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втратами, які також стануть фінансовими</w:t>
      </w:r>
      <w:r w:rsidR="00EE15C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але з часовим лагом. </w:t>
      </w:r>
      <w:r w:rsidR="009B1ABE">
        <w:rPr>
          <w:rFonts w:ascii="Times New Roman" w:hAnsi="Times New Roman" w:cs="Times New Roman"/>
          <w:sz w:val="28"/>
          <w:szCs w:val="28"/>
          <w:lang w:val="uk-UA"/>
        </w:rPr>
        <w:t>Це стосувалося навіть тих, на діяльність яких не поширювалася дія економічних санкцій, прийнятих США, ЄС та урядами багатьох країн</w:t>
      </w:r>
      <w:r w:rsidR="005B41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55BB8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5B41EE">
        <w:rPr>
          <w:rFonts w:ascii="Times New Roman" w:hAnsi="Times New Roman" w:cs="Times New Roman"/>
          <w:sz w:val="28"/>
          <w:szCs w:val="28"/>
          <w:lang w:val="uk-UA"/>
        </w:rPr>
        <w:t xml:space="preserve"> менеджментом яких було прийнято рішення про «</w:t>
      </w:r>
      <w:proofErr w:type="spellStart"/>
      <w:r w:rsidR="005B41EE">
        <w:rPr>
          <w:rFonts w:ascii="Times New Roman" w:hAnsi="Times New Roman" w:cs="Times New Roman"/>
          <w:sz w:val="28"/>
          <w:szCs w:val="28"/>
          <w:lang w:val="uk-UA"/>
        </w:rPr>
        <w:t>самосанкції</w:t>
      </w:r>
      <w:proofErr w:type="spellEnd"/>
      <w:r w:rsidR="005B41E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BB8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навпаки про максимальн</w:t>
      </w:r>
      <w:r w:rsidR="009E28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збере</w:t>
      </w:r>
      <w:r w:rsidR="00355BB8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актив</w:t>
      </w:r>
      <w:r w:rsidR="00355BB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і ринков</w:t>
      </w:r>
      <w:r w:rsidR="00355BB8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3E7772">
        <w:rPr>
          <w:rFonts w:ascii="Times New Roman" w:hAnsi="Times New Roman" w:cs="Times New Roman"/>
          <w:sz w:val="28"/>
          <w:szCs w:val="28"/>
          <w:lang w:val="uk-UA"/>
        </w:rPr>
        <w:t xml:space="preserve"> частк</w:t>
      </w:r>
      <w:r w:rsidR="00355BB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B41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B41EE" w:rsidRPr="00E12A1D" w:rsidRDefault="00E00E5B" w:rsidP="001D757C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 w:rsidRPr="00E12A1D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Науковці Єльського університету від початку вторгнення армії </w:t>
      </w:r>
      <w:proofErr w:type="spellStart"/>
      <w:r w:rsidRPr="00E12A1D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росії</w:t>
      </w:r>
      <w:proofErr w:type="spellEnd"/>
      <w:r w:rsidRPr="00E12A1D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в Україну відстежували діяльність міжнародних компаній, які працювали в РФ.  За оприлюдненими ними даними станом на 09.05.2022 р. з 1267 лише 330 компаній (26%) ухвалили рішення про повне припинення операцій та вихід з російського ринку. Повністю проігнорували ситуацію і продовжили звичайну діяльність без обмежень 220 компаній (17%). Решта міжнародних компаній </w:t>
      </w:r>
      <w:r w:rsidR="000F40C7" w:rsidRPr="00E12A1D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хоч і скоригували власні стратегії з огляду на кризову ситуацію, але залишили для себе можливості швидкого повернення до звичайної роботи на ринку РФ у випадку зменшення інтенсивності військових дій або їх завершення (рис.1).</w:t>
      </w:r>
    </w:p>
    <w:p w:rsidR="00B742B9" w:rsidRPr="00F724D2" w:rsidRDefault="00B742B9" w:rsidP="00F724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34075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F724D2" w:rsidRPr="00A17FBA" w:rsidRDefault="00BE6C68" w:rsidP="00D367D6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1. </w:t>
      </w:r>
      <w:r w:rsidRPr="00A17FBA">
        <w:rPr>
          <w:rFonts w:ascii="Times New Roman" w:hAnsi="Times New Roman" w:cs="Times New Roman"/>
          <w:sz w:val="28"/>
          <w:szCs w:val="28"/>
          <w:lang w:val="uk-UA"/>
        </w:rPr>
        <w:t xml:space="preserve">Розподіл міжнародних компаній залежно </w:t>
      </w:r>
      <w:r w:rsidRPr="00A17FBA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від способу згортання/ подовження діяльності в РФ, </w:t>
      </w:r>
      <w:r w:rsidR="004369D4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од.</w:t>
      </w:r>
      <w:r w:rsidRPr="00A17FBA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(станом на 09.05.2022 р.)</w:t>
      </w:r>
    </w:p>
    <w:p w:rsidR="00D367D6" w:rsidRPr="00F673B7" w:rsidRDefault="00D367D6" w:rsidP="00D367D6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F673B7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Джерело: побудовано автором за даними [1]</w:t>
      </w:r>
    </w:p>
    <w:p w:rsidR="004369D4" w:rsidRDefault="004369D4" w:rsidP="00D367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Вибір способу коригування маркетингової стратегії щодо ринку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окремими </w:t>
      </w:r>
      <w:r w:rsidRPr="00A17FBA">
        <w:rPr>
          <w:rFonts w:ascii="Times New Roman" w:hAnsi="Times New Roman" w:cs="Times New Roman"/>
          <w:sz w:val="28"/>
          <w:szCs w:val="28"/>
          <w:lang w:val="uk-UA"/>
        </w:rPr>
        <w:t>міжнародни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A17FBA">
        <w:rPr>
          <w:rFonts w:ascii="Times New Roman" w:hAnsi="Times New Roman" w:cs="Times New Roman"/>
          <w:sz w:val="28"/>
          <w:szCs w:val="28"/>
          <w:lang w:val="uk-UA"/>
        </w:rPr>
        <w:t xml:space="preserve"> компані</w:t>
      </w:r>
      <w:r>
        <w:rPr>
          <w:rFonts w:ascii="Times New Roman" w:hAnsi="Times New Roman" w:cs="Times New Roman"/>
          <w:sz w:val="28"/>
          <w:szCs w:val="28"/>
          <w:lang w:val="uk-UA"/>
        </w:rPr>
        <w:t>ями багато в чому був обумовлений і національною приналежністю їх статутного капіталу або країною реєстрації. Так серед тих хто вирішив продовжити звичайну діяльність найбільше китайських компаній</w:t>
      </w:r>
      <w:r w:rsidR="00972A8D">
        <w:rPr>
          <w:rFonts w:ascii="Times New Roman" w:hAnsi="Times New Roman" w:cs="Times New Roman"/>
          <w:sz w:val="28"/>
          <w:szCs w:val="28"/>
          <w:lang w:val="uk-UA"/>
        </w:rPr>
        <w:t>, що пояснюється нейтралітетом Китаю у російсько-українській війні (рис.2).</w:t>
      </w:r>
      <w:r w:rsidR="00D72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72A8D" w:rsidRDefault="009C4815" w:rsidP="00D367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320040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5547C" w:rsidRDefault="0055547C" w:rsidP="00D367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Рис. 2. </w:t>
      </w:r>
      <w:r w:rsidRPr="00A17FBA">
        <w:rPr>
          <w:rFonts w:ascii="Times New Roman" w:hAnsi="Times New Roman" w:cs="Times New Roman"/>
          <w:sz w:val="28"/>
          <w:szCs w:val="28"/>
          <w:lang w:val="uk-UA"/>
        </w:rPr>
        <w:t xml:space="preserve">Розподіл міжнародних компаній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E12A1D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продовжили звичайну діяльність без обмежень</w:t>
      </w:r>
      <w:r w:rsidRPr="00A17FBA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в РФ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за країнами</w:t>
      </w:r>
      <w:r w:rsidRPr="00A17FBA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,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од.</w:t>
      </w:r>
      <w:r w:rsidRPr="00A17FBA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(станом на 09.05.2022 р.)</w:t>
      </w:r>
    </w:p>
    <w:p w:rsidR="00D72028" w:rsidRDefault="008A339E" w:rsidP="00D367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Значна ж кількість компаній з США, які лишилися на ринку РФ, пояснюється високою присутністю компаній з цієї країни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росії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 американські компанії є і лідерами серед групи тих, хто повністю припинив будь-яку діяльність в РФ. Їх частка в цій групі – 38%. </w:t>
      </w:r>
    </w:p>
    <w:p w:rsidR="00D367D6" w:rsidRDefault="00D367D6" w:rsidP="008A339E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Розглядаючи приклади ухвалених рішень щодо коригування стратегій під час російсько-української війни можна навести два приклади</w:t>
      </w:r>
      <w:r w:rsidRPr="000833E5">
        <w:t xml:space="preserve"> </w:t>
      </w:r>
      <w:r w:rsidRPr="000833E5">
        <w:rPr>
          <w:rFonts w:ascii="Times New Roman" w:hAnsi="Times New Roman" w:cs="Times New Roman"/>
          <w:sz w:val="28"/>
          <w:szCs w:val="28"/>
          <w:lang w:val="uk-UA"/>
        </w:rPr>
        <w:t xml:space="preserve">: BP і </w:t>
      </w:r>
      <w:proofErr w:type="spellStart"/>
      <w:r w:rsidRPr="000833E5">
        <w:rPr>
          <w:rFonts w:ascii="Times New Roman" w:hAnsi="Times New Roman" w:cs="Times New Roman"/>
          <w:sz w:val="28"/>
          <w:szCs w:val="28"/>
          <w:lang w:val="uk-UA"/>
        </w:rPr>
        <w:t>Renault</w:t>
      </w:r>
      <w:proofErr w:type="spellEnd"/>
      <w:r w:rsidRPr="000833E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57D8">
        <w:rPr>
          <w:rFonts w:ascii="Times New Roman" w:hAnsi="Times New Roman" w:cs="Times New Roman"/>
          <w:sz w:val="28"/>
          <w:szCs w:val="28"/>
          <w:lang w:val="uk-UA"/>
        </w:rPr>
        <w:t xml:space="preserve">Витративши 30 років на розвиток свого бізнесу, правлінню BP знадобилося всього три дні, щоб погодитися з потенційними збитками в розмірі 25 мільярдів доларів від продажу своєї частки в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7C57D8">
        <w:rPr>
          <w:rFonts w:ascii="Times New Roman" w:hAnsi="Times New Roman" w:cs="Times New Roman"/>
          <w:sz w:val="28"/>
          <w:szCs w:val="28"/>
          <w:lang w:val="uk-UA"/>
        </w:rPr>
        <w:t>Роснефти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C57D8">
        <w:rPr>
          <w:rFonts w:ascii="Times New Roman" w:hAnsi="Times New Roman" w:cs="Times New Roman"/>
          <w:sz w:val="28"/>
          <w:szCs w:val="28"/>
          <w:lang w:val="uk-UA"/>
        </w:rPr>
        <w:t>, російській державній газовій компанії.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</w:t>
      </w:r>
      <w:r w:rsidRPr="007C57D8">
        <w:rPr>
          <w:rFonts w:ascii="Times New Roman" w:hAnsi="Times New Roman" w:cs="Times New Roman"/>
          <w:sz w:val="28"/>
          <w:szCs w:val="28"/>
          <w:lang w:val="uk-UA"/>
        </w:rPr>
        <w:t>видкість виходу означала, що BP мала стратегію швидкого виходу.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На відміну від </w:t>
      </w:r>
      <w:r w:rsidRPr="000833E5">
        <w:rPr>
          <w:rFonts w:ascii="Times New Roman" w:hAnsi="Times New Roman" w:cs="Times New Roman"/>
          <w:sz w:val="28"/>
          <w:szCs w:val="28"/>
          <w:lang w:val="uk-UA"/>
        </w:rPr>
        <w:t>BP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, автомобільний виробник </w:t>
      </w:r>
      <w:proofErr w:type="spellStart"/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Renault</w:t>
      </w:r>
      <w:proofErr w:type="spellEnd"/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покладається на російський ринок для отримання 12% своїх доходів через свою мажоритарну частку в «</w:t>
      </w:r>
      <w:proofErr w:type="spellStart"/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АвтоВАЗі</w:t>
      </w:r>
      <w:proofErr w:type="spellEnd"/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», який одночасно є найбільшим виробником автомобілів у Росії та співпрацює з російським</w:t>
      </w:r>
      <w:r w:rsidR="00D4669B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и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державним</w:t>
      </w:r>
      <w:r w:rsidR="00D4669B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и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виробник</w:t>
      </w:r>
      <w:r w:rsidR="00D4669B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а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м</w:t>
      </w:r>
      <w:r w:rsidR="00D4669B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и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ракет, літаків і автоматів.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Ділове партнерство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з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роби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ло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дорогим вихід з російської економіки, а втрата 37% його вартості після російського вторгнення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з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роби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ло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дорогим його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подальше 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перебування.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В підсумку </w:t>
      </w:r>
      <w:proofErr w:type="spellStart"/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Renault</w:t>
      </w:r>
      <w:proofErr w:type="spellEnd"/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призупини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в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деякі свої операції через проблеми логістики, викликані санкціями,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але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, схоже, не ма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в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реальної стратегії виходу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з ринку 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en-US"/>
        </w:rPr>
        <w:t>[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2</w:t>
      </w:r>
      <w:r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en-US"/>
        </w:rPr>
        <w:t>]</w:t>
      </w:r>
      <w:r w:rsidRPr="00D367D6">
        <w:rPr>
          <w:rStyle w:val="a5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.</w:t>
      </w:r>
    </w:p>
    <w:p w:rsidR="00537F24" w:rsidRDefault="008A339E" w:rsidP="008A33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підсумку можна констатувати</w:t>
      </w:r>
      <w:r w:rsidR="006441A8" w:rsidRPr="006441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ситуація російсько-української війни переконливо довела, що</w:t>
      </w:r>
      <w:r w:rsidR="006441A8" w:rsidRPr="006441A8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професійний обов’язок максимізувати інтереси акціонерів і підтримувати розвиток бізнесу більше не є всеохоплюючим</w:t>
      </w:r>
      <w:r w:rsidR="003F5CFC">
        <w:rPr>
          <w:rFonts w:ascii="Times New Roman" w:hAnsi="Times New Roman" w:cs="Times New Roman"/>
          <w:sz w:val="28"/>
          <w:szCs w:val="28"/>
          <w:lang w:val="uk-UA"/>
        </w:rPr>
        <w:t xml:space="preserve">, а рішення щодо діяльності на певному ринку сприймається як </w:t>
      </w:r>
      <w:r w:rsidR="003F5CFC" w:rsidRPr="003F5CFC">
        <w:rPr>
          <w:rFonts w:ascii="Times New Roman" w:hAnsi="Times New Roman" w:cs="Times New Roman"/>
          <w:sz w:val="28"/>
          <w:szCs w:val="28"/>
          <w:lang w:val="uk-UA"/>
        </w:rPr>
        <w:t>неявне прийняття політичних дій цієї країни</w:t>
      </w:r>
      <w:r w:rsidR="003F5CFC">
        <w:rPr>
          <w:rFonts w:ascii="Times New Roman" w:hAnsi="Times New Roman" w:cs="Times New Roman"/>
          <w:sz w:val="28"/>
          <w:szCs w:val="28"/>
          <w:lang w:val="uk-UA"/>
        </w:rPr>
        <w:t xml:space="preserve"> і міжнародні компанії повинні мати стратегії виходу з ринку на випадок погіршення політичної ситуації.</w:t>
      </w:r>
    </w:p>
    <w:p w:rsidR="006441A8" w:rsidRPr="001D7D83" w:rsidRDefault="001D7D83" w:rsidP="001D7D8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D7D8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537F24" w:rsidRPr="00D367D6" w:rsidRDefault="00D367D6" w:rsidP="00E12A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367D6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37F24" w:rsidRPr="00D367D6">
        <w:rPr>
          <w:rFonts w:ascii="Times New Roman" w:hAnsi="Times New Roman" w:cs="Times New Roman"/>
          <w:sz w:val="28"/>
          <w:szCs w:val="28"/>
          <w:lang w:val="en-US"/>
        </w:rPr>
        <w:t xml:space="preserve">Over 750 Companies Have Curtailed Operations in Russia – But Some Remain. </w:t>
      </w:r>
      <w:proofErr w:type="gramStart"/>
      <w:r w:rsidR="00537F24" w:rsidRPr="00D367D6">
        <w:rPr>
          <w:rFonts w:ascii="Times New Roman" w:hAnsi="Times New Roman" w:cs="Times New Roman"/>
          <w:sz w:val="28"/>
          <w:szCs w:val="28"/>
          <w:lang w:val="en-US"/>
        </w:rPr>
        <w:t>Yale school of management.</w:t>
      </w:r>
      <w:proofErr w:type="gramEnd"/>
      <w:r w:rsidR="00537F24" w:rsidRPr="00D367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37F24" w:rsidRPr="00D367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May</w:t>
      </w:r>
      <w:r w:rsidR="00537F24" w:rsidRPr="00D367D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37F24" w:rsidRPr="00D367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</w:t>
      </w:r>
      <w:r w:rsidR="00537F24" w:rsidRPr="00D367D6">
        <w:rPr>
          <w:rFonts w:ascii="Times New Roman" w:hAnsi="Times New Roman" w:cs="Times New Roman"/>
          <w:sz w:val="28"/>
          <w:szCs w:val="28"/>
          <w:shd w:val="clear" w:color="auto" w:fill="FFFFFF"/>
        </w:rPr>
        <w:t>0, 2022</w:t>
      </w:r>
      <w:r w:rsidR="00537F24" w:rsidRPr="00D367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537F24" w:rsidRPr="00D367D6">
        <w:rPr>
          <w:rFonts w:ascii="Times New Roman" w:hAnsi="Times New Roman" w:cs="Times New Roman"/>
          <w:color w:val="000000"/>
          <w:sz w:val="28"/>
          <w:szCs w:val="28"/>
          <w:lang w:val="en-US"/>
        </w:rPr>
        <w:t>URL:</w:t>
      </w:r>
      <w:r w:rsidR="00537F24" w:rsidRPr="00D367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D367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https://som.yale.edu/story/2022/almost-1000-companies-have-curtailed-operations-russia-some-remain</w:t>
      </w:r>
    </w:p>
    <w:p w:rsidR="00E12A1D" w:rsidRPr="00E12A1D" w:rsidRDefault="00D367D6" w:rsidP="00E12A1D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>Katsos</w:t>
      </w:r>
      <w:proofErr w:type="spellEnd"/>
      <w:r w:rsidR="00E12A1D"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 xml:space="preserve"> John E., </w:t>
      </w:r>
      <w:proofErr w:type="spellStart"/>
      <w:r w:rsidR="00E12A1D"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>Miklian</w:t>
      </w:r>
      <w:proofErr w:type="spellEnd"/>
      <w:r w:rsidR="00E12A1D"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 xml:space="preserve"> Jason,</w:t>
      </w:r>
      <w:r w:rsidR="00E12A1D" w:rsidRPr="00E12A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E12A1D"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>Forrer</w:t>
      </w:r>
      <w:proofErr w:type="spellEnd"/>
      <w:r w:rsidR="00E12A1D"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 xml:space="preserve"> John J. </w:t>
      </w:r>
      <w:r w:rsidR="00E12A1D" w:rsidRPr="00E12A1D">
        <w:rPr>
          <w:rFonts w:ascii="Times New Roman" w:hAnsi="Times New Roman" w:cs="Times New Roman"/>
          <w:bCs/>
          <w:color w:val="282828"/>
          <w:spacing w:val="5"/>
          <w:sz w:val="28"/>
          <w:szCs w:val="28"/>
          <w:shd w:val="clear" w:color="auto" w:fill="FFFFFF"/>
          <w:lang w:val="en-US"/>
        </w:rPr>
        <w:t>In Light of Russia Sanctions, Consider Your Conditions for Doing Bu</w:t>
      </w:r>
      <w:r w:rsidR="00E12A1D" w:rsidRP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 xml:space="preserve">siness in Other Countries. </w:t>
      </w:r>
      <w:r w:rsidR="00E12A1D" w:rsidRPr="00E12A1D">
        <w:rPr>
          <w:rFonts w:ascii="Times New Roman" w:hAnsi="Times New Roman" w:cs="Times New Roman"/>
          <w:bCs/>
          <w:i/>
          <w:color w:val="282828"/>
          <w:spacing w:val="5"/>
          <w:sz w:val="28"/>
          <w:szCs w:val="28"/>
          <w:shd w:val="clear" w:color="auto" w:fill="FFFFFF"/>
          <w:lang w:val="en-US"/>
        </w:rPr>
        <w:t>Bu</w:t>
      </w:r>
      <w:r w:rsidR="00E12A1D" w:rsidRPr="00E12A1D">
        <w:rPr>
          <w:rFonts w:ascii="Times New Roman" w:hAnsi="Times New Roman" w:cs="Times New Roman"/>
          <w:i/>
          <w:color w:val="282828"/>
          <w:spacing w:val="-2"/>
          <w:sz w:val="28"/>
          <w:szCs w:val="28"/>
          <w:lang w:val="en-US"/>
        </w:rPr>
        <w:t xml:space="preserve">siness </w:t>
      </w:r>
      <w:proofErr w:type="gramStart"/>
      <w:r w:rsidR="00E12A1D" w:rsidRPr="00E12A1D">
        <w:rPr>
          <w:rFonts w:ascii="Times New Roman" w:hAnsi="Times New Roman" w:cs="Times New Roman"/>
          <w:i/>
          <w:color w:val="282828"/>
          <w:spacing w:val="-2"/>
          <w:sz w:val="28"/>
          <w:szCs w:val="28"/>
          <w:lang w:val="en-US"/>
        </w:rPr>
        <w:t>And</w:t>
      </w:r>
      <w:proofErr w:type="gramEnd"/>
      <w:r w:rsidR="00E12A1D" w:rsidRPr="00E12A1D">
        <w:rPr>
          <w:rFonts w:ascii="Times New Roman" w:hAnsi="Times New Roman" w:cs="Times New Roman"/>
          <w:i/>
          <w:color w:val="282828"/>
          <w:spacing w:val="-2"/>
          <w:sz w:val="28"/>
          <w:szCs w:val="28"/>
          <w:lang w:val="en-US"/>
        </w:rPr>
        <w:t xml:space="preserve"> Society</w:t>
      </w:r>
      <w:r w:rsidR="00E12A1D">
        <w:rPr>
          <w:rFonts w:ascii="Times New Roman" w:hAnsi="Times New Roman" w:cs="Times New Roman"/>
          <w:color w:val="282828"/>
          <w:spacing w:val="-2"/>
          <w:sz w:val="28"/>
          <w:szCs w:val="28"/>
          <w:lang w:val="en-US"/>
        </w:rPr>
        <w:t xml:space="preserve">. </w:t>
      </w:r>
      <w:proofErr w:type="spellStart"/>
      <w:r w:rsidR="00E12A1D" w:rsidRPr="00E12A1D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</w:rPr>
        <w:t>March</w:t>
      </w:r>
      <w:proofErr w:type="spellEnd"/>
      <w:r w:rsidR="00E12A1D" w:rsidRPr="00E12A1D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</w:rPr>
        <w:t xml:space="preserve"> 15, 2022</w:t>
      </w:r>
      <w:r w:rsidR="00E12A1D">
        <w:rPr>
          <w:rFonts w:ascii="Times New Roman" w:hAnsi="Times New Roman" w:cs="Times New Roman"/>
          <w:spacing w:val="3"/>
          <w:sz w:val="28"/>
          <w:szCs w:val="28"/>
          <w:shd w:val="clear" w:color="auto" w:fill="FFFFFF"/>
          <w:lang w:val="en-US"/>
        </w:rPr>
        <w:t xml:space="preserve">. </w:t>
      </w:r>
      <w:r w:rsidR="00E12A1D" w:rsidRPr="00D367D6">
        <w:rPr>
          <w:rFonts w:ascii="Times New Roman" w:hAnsi="Times New Roman" w:cs="Times New Roman"/>
          <w:color w:val="000000"/>
          <w:sz w:val="28"/>
          <w:szCs w:val="28"/>
          <w:lang w:val="en-US"/>
        </w:rPr>
        <w:t>URL:</w:t>
      </w:r>
      <w:r w:rsidR="00E12A1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E12A1D" w:rsidRPr="00E12A1D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https://hbr.org/2022/03/in-light-of-russia-sanctions-consider-your-conditions-for-doing-business-in-other-countries</w:t>
      </w:r>
    </w:p>
    <w:p w:rsidR="00E12A1D" w:rsidRPr="00E12A1D" w:rsidRDefault="00E12A1D" w:rsidP="00D367D6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E12A1D" w:rsidRPr="00E12A1D" w:rsidSect="000F40C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5714F9"/>
    <w:multiLevelType w:val="multilevel"/>
    <w:tmpl w:val="7B3C3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1902AA0"/>
    <w:multiLevelType w:val="hybridMultilevel"/>
    <w:tmpl w:val="6C8A54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813745"/>
    <w:multiLevelType w:val="hybridMultilevel"/>
    <w:tmpl w:val="280250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724D2"/>
    <w:rsid w:val="00011AA4"/>
    <w:rsid w:val="000833E5"/>
    <w:rsid w:val="000B524C"/>
    <w:rsid w:val="000F40C7"/>
    <w:rsid w:val="001446FE"/>
    <w:rsid w:val="00170481"/>
    <w:rsid w:val="001D757C"/>
    <w:rsid w:val="001D7D83"/>
    <w:rsid w:val="0021181A"/>
    <w:rsid w:val="002B308F"/>
    <w:rsid w:val="00355BB8"/>
    <w:rsid w:val="003E7772"/>
    <w:rsid w:val="003F5CFC"/>
    <w:rsid w:val="004369D4"/>
    <w:rsid w:val="00537F24"/>
    <w:rsid w:val="0055547C"/>
    <w:rsid w:val="00557154"/>
    <w:rsid w:val="00584D9C"/>
    <w:rsid w:val="005B41EE"/>
    <w:rsid w:val="006115FB"/>
    <w:rsid w:val="006441A8"/>
    <w:rsid w:val="00682B1E"/>
    <w:rsid w:val="006C49DD"/>
    <w:rsid w:val="00753D1C"/>
    <w:rsid w:val="007A53DF"/>
    <w:rsid w:val="007C57D8"/>
    <w:rsid w:val="007D634D"/>
    <w:rsid w:val="0084783D"/>
    <w:rsid w:val="008A339E"/>
    <w:rsid w:val="008F64F2"/>
    <w:rsid w:val="0092284D"/>
    <w:rsid w:val="00972438"/>
    <w:rsid w:val="00972A8D"/>
    <w:rsid w:val="009B1ABE"/>
    <w:rsid w:val="009C4815"/>
    <w:rsid w:val="009D7B27"/>
    <w:rsid w:val="009E28F9"/>
    <w:rsid w:val="00A17FBA"/>
    <w:rsid w:val="00B1031A"/>
    <w:rsid w:val="00B742B9"/>
    <w:rsid w:val="00BE6C68"/>
    <w:rsid w:val="00D16BBF"/>
    <w:rsid w:val="00D367D6"/>
    <w:rsid w:val="00D4669B"/>
    <w:rsid w:val="00D72028"/>
    <w:rsid w:val="00D9272F"/>
    <w:rsid w:val="00E00E5B"/>
    <w:rsid w:val="00E01CC3"/>
    <w:rsid w:val="00E12A1D"/>
    <w:rsid w:val="00ED15E1"/>
    <w:rsid w:val="00EE15C0"/>
    <w:rsid w:val="00EF4425"/>
    <w:rsid w:val="00F62195"/>
    <w:rsid w:val="00F673B7"/>
    <w:rsid w:val="00F724D2"/>
    <w:rsid w:val="00FD1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64F2"/>
  </w:style>
  <w:style w:type="paragraph" w:styleId="1">
    <w:name w:val="heading 1"/>
    <w:basedOn w:val="a"/>
    <w:link w:val="10"/>
    <w:uiPriority w:val="9"/>
    <w:qFormat/>
    <w:rsid w:val="00E12A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42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42B9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BE6C68"/>
    <w:rPr>
      <w:i/>
      <w:iCs/>
    </w:rPr>
  </w:style>
  <w:style w:type="paragraph" w:styleId="a6">
    <w:name w:val="List Paragraph"/>
    <w:basedOn w:val="a"/>
    <w:uiPriority w:val="34"/>
    <w:qFormat/>
    <w:rsid w:val="00537F2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D367D6"/>
    <w:rPr>
      <w:color w:val="0000FF" w:themeColor="hyperlink"/>
      <w:u w:val="single"/>
    </w:rPr>
  </w:style>
  <w:style w:type="character" w:customStyle="1" w:styleId="by-prefix">
    <w:name w:val="by-prefix"/>
    <w:basedOn w:val="a0"/>
    <w:rsid w:val="00D367D6"/>
  </w:style>
  <w:style w:type="character" w:customStyle="1" w:styleId="last-author-joint">
    <w:name w:val="last-author-joint"/>
    <w:basedOn w:val="a0"/>
    <w:rsid w:val="00D367D6"/>
  </w:style>
  <w:style w:type="character" w:customStyle="1" w:styleId="10">
    <w:name w:val="Заголовок 1 Знак"/>
    <w:basedOn w:val="a0"/>
    <w:link w:val="1"/>
    <w:uiPriority w:val="9"/>
    <w:rsid w:val="00E12A1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7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3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dLbls>
            <c:showVal val="1"/>
          </c:dLbls>
          <c:cat>
            <c:strRef>
              <c:f>Лист1!$A$2:$A$6</c:f>
              <c:strCache>
                <c:ptCount val="5"/>
                <c:pt idx="0">
                  <c:v>Продовжили звичайну діяльність без обмежень</c:v>
                </c:pt>
                <c:pt idx="1">
                  <c:v>Відклали майбутні заплановані інвестиції/розвиток/маркетинг, продовжуючи значний бізнес</c:v>
                </c:pt>
                <c:pt idx="2">
                  <c:v>Скоротили деякі важливі бізнес-операції, але продовжують деякі інші</c:v>
                </c:pt>
                <c:pt idx="3">
                  <c:v>Тимчасово згорнули більшість або майже всі операції, залишаючи можливості повернення відкритими </c:v>
                </c:pt>
                <c:pt idx="4">
                  <c:v>Повністю припинили відносини з росією або повністю  вийшли з ринку росії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220</c:v>
                </c:pt>
                <c:pt idx="1">
                  <c:v>152</c:v>
                </c:pt>
                <c:pt idx="2">
                  <c:v>135</c:v>
                </c:pt>
                <c:pt idx="3">
                  <c:v>430</c:v>
                </c:pt>
                <c:pt idx="4">
                  <c:v>330</c:v>
                </c:pt>
              </c:numCache>
            </c:numRef>
          </c:val>
        </c:ser>
        <c:axId val="130544768"/>
        <c:axId val="126027648"/>
      </c:barChart>
      <c:valAx>
        <c:axId val="126027648"/>
        <c:scaling>
          <c:orientation val="minMax"/>
        </c:scaling>
        <c:axPos val="b"/>
        <c:numFmt formatCode="General" sourceLinked="1"/>
        <c:tickLblPos val="nextTo"/>
        <c:crossAx val="130544768"/>
        <c:crosses val="autoZero"/>
        <c:crossBetween val="between"/>
      </c:valAx>
      <c:catAx>
        <c:axId val="130544768"/>
        <c:scaling>
          <c:orientation val="minMax"/>
        </c:scaling>
        <c:axPos val="l"/>
        <c:tickLblPos val="nextTo"/>
        <c:crossAx val="126027648"/>
        <c:crosses val="autoZero"/>
        <c:auto val="1"/>
        <c:lblAlgn val="ctr"/>
        <c:lblOffset val="100"/>
      </c:catAx>
    </c:plotArea>
    <c:plotVisOnly val="1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dLbls>
            <c:txPr>
              <a:bodyPr/>
              <a:lstStyle/>
              <a:p>
                <a:pPr>
                  <a:defRPr sz="1100"/>
                </a:pPr>
                <a:endParaRPr lang="ru-RU"/>
              </a:p>
            </c:txPr>
            <c:showVal val="1"/>
          </c:dLbls>
          <c:cat>
            <c:strRef>
              <c:f>Лист1!$A$2:$A$12</c:f>
              <c:strCache>
                <c:ptCount val="11"/>
                <c:pt idx="0">
                  <c:v>Китай</c:v>
                </c:pt>
                <c:pt idx="1">
                  <c:v>США</c:v>
                </c:pt>
                <c:pt idx="2">
                  <c:v>Франція</c:v>
                </c:pt>
                <c:pt idx="3">
                  <c:v>Італія</c:v>
                </c:pt>
                <c:pt idx="4">
                  <c:v>Австрія</c:v>
                </c:pt>
                <c:pt idx="5">
                  <c:v>Індія</c:v>
                </c:pt>
                <c:pt idx="6">
                  <c:v>Німеччина</c:v>
                </c:pt>
                <c:pt idx="7">
                  <c:v>Японія</c:v>
                </c:pt>
                <c:pt idx="8">
                  <c:v>Швейцарія</c:v>
                </c:pt>
                <c:pt idx="9">
                  <c:v>Угорщина</c:v>
                </c:pt>
                <c:pt idx="10">
                  <c:v>Інші країни</c:v>
                </c:pt>
              </c:strCache>
            </c:strRef>
          </c:cat>
          <c:val>
            <c:numRef>
              <c:f>Лист1!$B$2:$B$12</c:f>
              <c:numCache>
                <c:formatCode>General</c:formatCode>
                <c:ptCount val="11"/>
                <c:pt idx="0">
                  <c:v>40</c:v>
                </c:pt>
                <c:pt idx="1">
                  <c:v>29</c:v>
                </c:pt>
                <c:pt idx="2">
                  <c:v>25</c:v>
                </c:pt>
                <c:pt idx="3">
                  <c:v>13</c:v>
                </c:pt>
                <c:pt idx="4">
                  <c:v>13</c:v>
                </c:pt>
                <c:pt idx="5">
                  <c:v>13</c:v>
                </c:pt>
                <c:pt idx="6">
                  <c:v>11</c:v>
                </c:pt>
                <c:pt idx="7">
                  <c:v>8</c:v>
                </c:pt>
                <c:pt idx="8">
                  <c:v>7</c:v>
                </c:pt>
                <c:pt idx="9">
                  <c:v>6</c:v>
                </c:pt>
                <c:pt idx="10">
                  <c:v>55</c:v>
                </c:pt>
              </c:numCache>
            </c:numRef>
          </c:val>
        </c:ser>
        <c:axId val="136118656"/>
        <c:axId val="136122752"/>
      </c:barChart>
      <c:catAx>
        <c:axId val="136118656"/>
        <c:scaling>
          <c:orientation val="minMax"/>
        </c:scaling>
        <c:axPos val="l"/>
        <c:tickLblPos val="nextTo"/>
        <c:txPr>
          <a:bodyPr/>
          <a:lstStyle/>
          <a:p>
            <a:pPr>
              <a:defRPr sz="1100"/>
            </a:pPr>
            <a:endParaRPr lang="ru-RU"/>
          </a:p>
        </c:txPr>
        <c:crossAx val="136122752"/>
        <c:crosses val="autoZero"/>
        <c:auto val="1"/>
        <c:lblAlgn val="ctr"/>
        <c:lblOffset val="100"/>
      </c:catAx>
      <c:valAx>
        <c:axId val="136122752"/>
        <c:scaling>
          <c:orientation val="minMax"/>
        </c:scaling>
        <c:axPos val="b"/>
        <c:numFmt formatCode="General" sourceLinked="1"/>
        <c:tickLblPos val="nextTo"/>
        <c:crossAx val="136118656"/>
        <c:crosses val="autoZero"/>
        <c:crossBetween val="between"/>
      </c:valAx>
    </c:plotArea>
    <c:plotVisOnly val="1"/>
  </c:chart>
  <c:spPr>
    <a:ln>
      <a:noFill/>
    </a:ln>
  </c:spPr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2150</TotalTime>
  <Pages>4</Pages>
  <Words>676</Words>
  <Characters>3855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</dc:creator>
  <cp:keywords/>
  <dc:description/>
  <cp:lastModifiedBy>Oksana</cp:lastModifiedBy>
  <cp:revision>46</cp:revision>
  <dcterms:created xsi:type="dcterms:W3CDTF">2022-05-09T08:35:00Z</dcterms:created>
  <dcterms:modified xsi:type="dcterms:W3CDTF">2022-05-11T18:56:00Z</dcterms:modified>
</cp:coreProperties>
</file>