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theme/themeOverride2.xml" ContentType="application/vnd.openxmlformats-officedocument.themeOverride+xml"/>
  <Override PartName="/word/drawings/drawing2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6A2" w:rsidRDefault="005036A2" w:rsidP="009B4DB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ЕФЕКТИВНІСТЬ ЗБЕРІГАННЯ ГРУШ СОРТУ ЯНІС З ПІСЛЯЗБИРАЛЬНОЮ ОБРОБКОЮ ІНГІБІТОРОМ ЕТИЛЕНУ</w:t>
      </w:r>
    </w:p>
    <w:p w:rsidR="005036A2" w:rsidRDefault="005036A2" w:rsidP="009B4DB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A07691" w:rsidRPr="000442CB" w:rsidRDefault="00A07691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0442CB">
        <w:rPr>
          <w:rFonts w:ascii="Times New Roman" w:hAnsi="Times New Roman" w:cs="Times New Roman"/>
          <w:b/>
          <w:i/>
          <w:sz w:val="24"/>
          <w:szCs w:val="24"/>
          <w:lang w:val="uk-UA"/>
        </w:rPr>
        <w:t>ДРОЗД О. О.</w:t>
      </w:r>
      <w:r w:rsidRPr="000442CB">
        <w:rPr>
          <w:rFonts w:ascii="Times New Roman" w:hAnsi="Times New Roman" w:cs="Times New Roman"/>
          <w:i/>
          <w:sz w:val="24"/>
          <w:szCs w:val="24"/>
          <w:lang w:val="uk-UA"/>
        </w:rPr>
        <w:t>, кандидат сільськогосподарських наук</w:t>
      </w:r>
    </w:p>
    <w:p w:rsidR="00A07691" w:rsidRPr="000442CB" w:rsidRDefault="00A07691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0442CB">
        <w:rPr>
          <w:rFonts w:ascii="Times New Roman" w:hAnsi="Times New Roman" w:cs="Times New Roman"/>
          <w:i/>
          <w:sz w:val="24"/>
          <w:szCs w:val="24"/>
          <w:lang w:val="uk-UA"/>
        </w:rPr>
        <w:t xml:space="preserve">Кафедра технології зберігання і переробки зерна, 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доцент</w:t>
      </w:r>
    </w:p>
    <w:p w:rsidR="00A07691" w:rsidRPr="000442CB" w:rsidRDefault="00A07691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0442CB">
        <w:rPr>
          <w:rFonts w:ascii="Times New Roman" w:hAnsi="Times New Roman" w:cs="Times New Roman"/>
          <w:b/>
          <w:i/>
          <w:sz w:val="24"/>
          <w:szCs w:val="24"/>
          <w:lang w:val="uk-UA"/>
        </w:rPr>
        <w:t>МЕЛЬНИК О. В.</w:t>
      </w:r>
      <w:r w:rsidRPr="000442CB">
        <w:rPr>
          <w:rFonts w:ascii="Times New Roman" w:hAnsi="Times New Roman" w:cs="Times New Roman"/>
          <w:i/>
          <w:sz w:val="24"/>
          <w:szCs w:val="24"/>
          <w:lang w:val="uk-UA"/>
        </w:rPr>
        <w:t>, доктор сільськогосподарських наук, професор</w:t>
      </w:r>
    </w:p>
    <w:p w:rsidR="00A07691" w:rsidRPr="000442CB" w:rsidRDefault="00A07691" w:rsidP="009B4DB9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>К</w:t>
      </w:r>
      <w:r w:rsidRPr="000442CB">
        <w:rPr>
          <w:rFonts w:ascii="Times New Roman" w:hAnsi="Times New Roman" w:cs="Times New Roman"/>
          <w:i/>
          <w:sz w:val="24"/>
          <w:szCs w:val="24"/>
          <w:lang w:val="uk-UA"/>
        </w:rPr>
        <w:t>афедр</w:t>
      </w:r>
      <w:r>
        <w:rPr>
          <w:rFonts w:ascii="Times New Roman" w:hAnsi="Times New Roman" w:cs="Times New Roman"/>
          <w:i/>
          <w:sz w:val="24"/>
          <w:szCs w:val="24"/>
          <w:lang w:val="uk-UA"/>
        </w:rPr>
        <w:t>а</w:t>
      </w:r>
      <w:r w:rsidRPr="000442CB">
        <w:rPr>
          <w:rFonts w:ascii="Times New Roman" w:hAnsi="Times New Roman" w:cs="Times New Roman"/>
          <w:i/>
          <w:sz w:val="24"/>
          <w:szCs w:val="24"/>
          <w:lang w:val="uk-UA"/>
        </w:rPr>
        <w:t xml:space="preserve"> плодівництва і виноградарства</w:t>
      </w:r>
    </w:p>
    <w:p w:rsidR="00A07691" w:rsidRDefault="00A07691" w:rsidP="009B4DB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DF26F1" w:rsidRPr="00EA73A3" w:rsidRDefault="00A07691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5577FB">
        <w:rPr>
          <w:rFonts w:ascii="Times New Roman" w:eastAsia="Calibri" w:hAnsi="Times New Roman" w:cs="Times New Roman"/>
          <w:i/>
          <w:sz w:val="28"/>
          <w:szCs w:val="28"/>
          <w:lang w:val="uk-UA"/>
        </w:rPr>
        <w:t>Досліджено вплив строку збирання</w:t>
      </w:r>
      <w:r w:rsidR="00DF26F1" w:rsidRPr="005577FB">
        <w:rPr>
          <w:rFonts w:ascii="Times New Roman" w:eastAsia="Calibri" w:hAnsi="Times New Roman" w:cs="Times New Roman"/>
          <w:i/>
          <w:sz w:val="28"/>
          <w:szCs w:val="28"/>
          <w:lang w:val="uk-UA"/>
        </w:rPr>
        <w:t>,</w:t>
      </w:r>
      <w:r w:rsidRPr="005577F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режиму охолодження і післязбиральної обробки інгібітором етилену на зміну товарності й економічні показники груш сорту </w:t>
      </w:r>
      <w:proofErr w:type="spellStart"/>
      <w:r w:rsidRPr="005577FB">
        <w:rPr>
          <w:rFonts w:ascii="Times New Roman" w:eastAsia="Calibri" w:hAnsi="Times New Roman" w:cs="Times New Roman"/>
          <w:i/>
          <w:sz w:val="28"/>
          <w:szCs w:val="28"/>
          <w:lang w:val="uk-UA"/>
        </w:rPr>
        <w:t>Яніс</w:t>
      </w:r>
      <w:proofErr w:type="spellEnd"/>
      <w:r w:rsidRPr="005577F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 впродовж шестимісячного зберігання. </w:t>
      </w:r>
      <w:r w:rsidR="005577FB" w:rsidRPr="005577FB">
        <w:rPr>
          <w:rFonts w:ascii="Times New Roman" w:eastAsia="Calibri" w:hAnsi="Times New Roman" w:cs="Times New Roman"/>
          <w:i/>
          <w:sz w:val="28"/>
          <w:szCs w:val="28"/>
          <w:lang w:val="uk-UA"/>
        </w:rPr>
        <w:t xml:space="preserve">Встановлено, що </w:t>
      </w:r>
      <w:r w:rsidR="00952478" w:rsidRPr="00EA73A3">
        <w:rPr>
          <w:rFonts w:ascii="Times New Roman" w:hAnsi="Times New Roman" w:cs="Times New Roman"/>
          <w:i/>
          <w:sz w:val="28"/>
          <w:szCs w:val="28"/>
          <w:lang w:val="uk-UA"/>
        </w:rPr>
        <w:t>рентабельність зберігання</w:t>
      </w:r>
      <w:r w:rsidR="00952478" w:rsidRPr="005577F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577FB" w:rsidRPr="005577FB">
        <w:rPr>
          <w:rFonts w:ascii="Times New Roman" w:hAnsi="Times New Roman" w:cs="Times New Roman"/>
          <w:i/>
          <w:sz w:val="28"/>
          <w:szCs w:val="28"/>
          <w:lang w:val="uk-UA"/>
        </w:rPr>
        <w:t>обро</w:t>
      </w:r>
      <w:r w:rsidR="00952478">
        <w:rPr>
          <w:rFonts w:ascii="Times New Roman" w:hAnsi="Times New Roman" w:cs="Times New Roman"/>
          <w:i/>
          <w:sz w:val="28"/>
          <w:szCs w:val="28"/>
          <w:lang w:val="uk-UA"/>
        </w:rPr>
        <w:t>блених</w:t>
      </w:r>
      <w:r w:rsidR="005577FB" w:rsidRPr="00EA73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інгібітором етилену </w:t>
      </w:r>
      <w:r w:rsidR="009524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й </w:t>
      </w:r>
      <w:r w:rsidR="005577FB" w:rsidRPr="00EA73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охолоджених із </w:t>
      </w:r>
      <w:r w:rsidR="00952478">
        <w:rPr>
          <w:rFonts w:ascii="Times New Roman" w:hAnsi="Times New Roman" w:cs="Times New Roman"/>
          <w:i/>
          <w:sz w:val="28"/>
          <w:szCs w:val="28"/>
          <w:lang w:val="uk-UA"/>
        </w:rPr>
        <w:t>затримкою плодів масового</w:t>
      </w:r>
      <w:r w:rsidR="003E278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збору</w:t>
      </w:r>
      <w:r w:rsidR="005577FB" w:rsidRPr="00EA73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на 17 пунктів</w:t>
      </w:r>
      <w:r w:rsidR="003E278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вища</w:t>
      </w:r>
      <w:r w:rsidR="005577FB" w:rsidRPr="00EA73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а негайно охолоджених – </w:t>
      </w:r>
      <w:r w:rsidR="003E2785">
        <w:rPr>
          <w:rFonts w:ascii="Times New Roman" w:hAnsi="Times New Roman" w:cs="Times New Roman"/>
          <w:i/>
          <w:sz w:val="28"/>
          <w:szCs w:val="28"/>
          <w:lang w:val="uk-UA"/>
        </w:rPr>
        <w:t>вища</w:t>
      </w:r>
      <w:r w:rsidR="003E2785" w:rsidRPr="00EA73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9B4DB9">
        <w:rPr>
          <w:rFonts w:ascii="Times New Roman" w:hAnsi="Times New Roman" w:cs="Times New Roman"/>
          <w:i/>
          <w:sz w:val="28"/>
          <w:szCs w:val="28"/>
          <w:lang w:val="uk-UA"/>
        </w:rPr>
        <w:t>на 10,3 пункти</w:t>
      </w:r>
      <w:r w:rsidR="003E2785">
        <w:rPr>
          <w:rFonts w:ascii="Times New Roman" w:hAnsi="Times New Roman" w:cs="Times New Roman"/>
          <w:i/>
          <w:sz w:val="28"/>
          <w:szCs w:val="28"/>
          <w:lang w:val="uk-UA"/>
        </w:rPr>
        <w:t>. За обробки  продукції запізнілого збирання рентабельність вища</w:t>
      </w:r>
      <w:r w:rsidR="005577FB" w:rsidRPr="00EA73A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лише для негайно охолоджених плодів.</w:t>
      </w:r>
    </w:p>
    <w:p w:rsidR="00A07691" w:rsidRDefault="00A07691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144123" w:rsidRPr="00EC14CB" w:rsidRDefault="00A07691" w:rsidP="009B4D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Яніс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– клон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пізньоосіннього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сорту груші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Ноябрська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A0769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селекції Інституту </w:t>
      </w:r>
      <w:r w:rsidR="003E278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садівництва Молдови (1962 р.), у</w:t>
      </w:r>
      <w:r w:rsidRPr="00A0769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2000 р. занесений до Державного реєстру як </w:t>
      </w:r>
      <w:proofErr w:type="spellStart"/>
      <w:r w:rsidRPr="00A0769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Ноябрська</w:t>
      </w:r>
      <w:proofErr w:type="spellEnd"/>
      <w:r w:rsidRPr="00A0769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Молдавії (з 2007 р. – </w:t>
      </w:r>
      <w:proofErr w:type="spellStart"/>
      <w:r w:rsidRPr="00A0769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Яніс</w:t>
      </w:r>
      <w:proofErr w:type="spellEnd"/>
      <w:r w:rsidRPr="00A0769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) і популярн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ий</w:t>
      </w:r>
      <w:r w:rsidRPr="00A0769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 Західній Європі під назвою Ксеня [</w:t>
      </w:r>
      <w:r w:rsid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1, 2</w:t>
      </w:r>
      <w:r w:rsidRPr="00A07691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].</w:t>
      </w:r>
      <w:r w:rsid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Зарано зібрані плоди </w:t>
      </w:r>
      <w:r w:rsidR="003E2785" w:rsidRPr="00EA73A3">
        <w:rPr>
          <w:rFonts w:ascii="Times New Roman" w:hAnsi="Times New Roman" w:cs="Times New Roman"/>
          <w:i/>
          <w:sz w:val="28"/>
          <w:szCs w:val="28"/>
          <w:lang w:val="uk-UA"/>
        </w:rPr>
        <w:t>–</w:t>
      </w:r>
      <w:r w:rsidR="003E2785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28188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невідповідного розміру, </w:t>
      </w:r>
      <w:r w:rsidR="003E278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без притаманного смаку і </w:t>
      </w:r>
      <w:r w:rsidR="0028188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швидко</w:t>
      </w:r>
      <w:r w:rsid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в’ян</w:t>
      </w:r>
      <w:r w:rsidR="0028188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уть</w:t>
      </w:r>
      <w:r w:rsidR="003E278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та</w:t>
      </w:r>
      <w:r w:rsidR="00281888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уражуються поверхневим побурінням шкірки (загар),</w:t>
      </w:r>
      <w:r w:rsid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а зібрані надто пізно </w:t>
      </w:r>
      <w:r w:rsidR="003E278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під час зберігання передчасно </w:t>
      </w:r>
      <w:r w:rsid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втрачають щільність, схильні до </w:t>
      </w:r>
      <w:r w:rsidR="003E278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погіршення смаку, побуріння м’якуша і загнивання</w:t>
      </w:r>
      <w:r w:rsid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8866CC" w:rsidRP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[</w:t>
      </w:r>
      <w:r w:rsid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3</w:t>
      </w:r>
      <w:r w:rsidR="008866CC" w:rsidRP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]</w:t>
      </w:r>
      <w:r w:rsid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="008866CC" w:rsidRP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 відміну від яблук, груші більш чутливі до механічних пошкоджень, гірше зберігаються і вимагають ретельного дотримання </w:t>
      </w:r>
      <w:r w:rsidR="003E278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режиму зберігання</w:t>
      </w:r>
      <w:r w:rsid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="008866CC" w:rsidRP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[</w:t>
      </w:r>
      <w:r w:rsid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4</w:t>
      </w:r>
      <w:r w:rsidR="008866CC" w:rsidRPr="008866CC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].</w:t>
      </w:r>
      <w:r w:rsidR="003E2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Результати</w:t>
      </w:r>
      <w:r w:rsidR="00EC14CB"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покращують </w:t>
      </w:r>
      <w:r w:rsidR="003E2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післязбиральною обробкою інгібітором етилену і </w:t>
      </w:r>
      <w:r w:rsidR="00EC14CB"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негайним післязбиральним охолодженням, однак ефективність </w:t>
      </w:r>
      <w:r w:rsidR="003E27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цих заходів</w:t>
      </w:r>
      <w:r w:rsidR="00EC14CB"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залежить від помологічного сорту </w:t>
      </w:r>
      <w:r w:rsidR="00EC14CB"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="00EC14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 w:rsidR="00EC14CB"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</w:t>
      </w:r>
      <w:r w:rsidR="00EC14CB"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144123" w:rsidRDefault="00144123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Мета досліджень – виявити вплив строку збирання, режиму охолодження і післязбиральної обробки інгібітором етилену </w:t>
      </w:r>
      <w:r w:rsidR="003E2785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1-метилциклопропеном (1-МЦП) </w:t>
      </w: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на зміну товарності й економічні показники груш сорту </w:t>
      </w:r>
      <w:proofErr w:type="spellStart"/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Яніс</w:t>
      </w:r>
      <w:proofErr w:type="spellEnd"/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впродовж тривалого зберігання.</w:t>
      </w:r>
    </w:p>
    <w:p w:rsidR="00144123" w:rsidRPr="00144123" w:rsidRDefault="00144123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Плоди заготовляли в </w:t>
      </w:r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Хотинському районі (Чернівецька область) у 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два строки – перший, з настанням збиральної стиглості (початок збиральної стиглості, масовий збір) і другий – на тиждень пізніше (повна збиральна стиглість, запізнілий збір), беручи до уваги щільність м’якуша, вміст сухих розчинних речовин та йод-крохмальну пробу. З типових дерев відбирали однорідну за ступенем стиглості продукцію вищого товарного сорту діаметром не менше 70 мм (ГСТУ 01.1-37-162:2004), яку вміщували в ящики </w:t>
      </w:r>
      <w:r w:rsidRPr="001441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№ 53 місткістю 15 кг (ГОСТ 10131-93) з шаховим укладанням і перестиланням</w:t>
      </w:r>
      <w:r w:rsidRPr="0014412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4412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кожного шару папером. 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Сюди ж клали поліетиленові сітки з плодами для обліку природних втрат. Число ящиків кожного варіанту відповідало періодичності товарного аналізу. </w:t>
      </w:r>
    </w:p>
    <w:p w:rsidR="00144123" w:rsidRPr="00144123" w:rsidRDefault="00144123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Після заготівлі частину п</w:t>
      </w:r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>родукції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негайно охолоджували за температури 5±1 °С та відносної вологості повітря 85–90 %, іншу частину охолоджували 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після 24-годинної експозиції за температури 18…20 °С і відносної вологості повітря 55…60 %. Наступного дня плоди обробляли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інгібітором етилену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>1-МЦП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>(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0,034 г/м</w:t>
      </w:r>
      <w:r w:rsidRPr="00144123">
        <w:rPr>
          <w:rFonts w:ascii="Times New Roman" w:eastAsia="Calibri" w:hAnsi="Times New Roman" w:cs="Times New Roman"/>
          <w:sz w:val="28"/>
          <w:szCs w:val="28"/>
          <w:vertAlign w:val="superscript"/>
          <w:lang w:val="uk-UA"/>
        </w:rPr>
        <w:t>3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препарату </w:t>
      </w:r>
      <w:proofErr w:type="spellStart"/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СмартФреш</w:t>
      </w:r>
      <w:proofErr w:type="spellEnd"/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>)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Для цього ящики з продукцією ставили в газонепроникний контейнер з плівки завтовшки 200 </w:t>
      </w:r>
      <w:proofErr w:type="spellStart"/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мк</w:t>
      </w:r>
      <w:proofErr w:type="spellEnd"/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 циркуляцією повітря автономним вентилятором, куди вміщували </w:t>
      </w:r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>склянку з дистильованою водою й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обчисленою на одиницю об’єму контейнера дозою порошкоподібного препарату.</w:t>
      </w:r>
    </w:p>
    <w:p w:rsidR="00144123" w:rsidRDefault="00144123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Після 24-годинної експ</w:t>
      </w:r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>озиції контейнер згорт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али, оброблені та контрольні плоди ставили на зберігання в холодильну к</w:t>
      </w:r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>амеру з температурою 2±0,5 °С і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відносною вологістю повітря 85–90 %. Температуру в камері контролювали спиртовими термометрами й автоматично, відносну вологість повітря – гігрометром.</w:t>
      </w:r>
      <w:r w:rsidRPr="00144123">
        <w:rPr>
          <w:rFonts w:ascii="Calibri" w:eastAsia="Calibri" w:hAnsi="Calibri" w:cs="Times New Roman"/>
        </w:rPr>
        <w:t xml:space="preserve"> 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Товарну оцінку здій</w:t>
      </w:r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>снювали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після двох, чотирьох і шести місяців зберігання </w:t>
      </w:r>
      <w:r w:rsidR="003E2785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за ГСТУ 01.1-37-162:2004 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віднесенням до технічного браку плодів, уражених до половини плодовою гниллю, до абсолютного відходу – з побурінням шкірки та м´якуша </w:t>
      </w:r>
      <w:r w:rsidRPr="00144123">
        <w:rPr>
          <w:rFonts w:ascii="Times New Roman" w:eastAsia="Calibri" w:hAnsi="Times New Roman" w:cs="Times New Roman"/>
          <w:sz w:val="28"/>
          <w:szCs w:val="28"/>
        </w:rPr>
        <w:t>[</w:t>
      </w:r>
      <w:r w:rsidR="00EC14CB">
        <w:rPr>
          <w:rFonts w:ascii="Times New Roman" w:eastAsia="Calibri" w:hAnsi="Times New Roman" w:cs="Times New Roman"/>
          <w:sz w:val="28"/>
          <w:szCs w:val="28"/>
          <w:lang w:val="uk-UA"/>
        </w:rPr>
        <w:t>6</w:t>
      </w:r>
      <w:r w:rsidRPr="00144123">
        <w:rPr>
          <w:rFonts w:ascii="Times New Roman" w:eastAsia="Calibri" w:hAnsi="Times New Roman" w:cs="Times New Roman"/>
          <w:sz w:val="28"/>
          <w:szCs w:val="28"/>
        </w:rPr>
        <w:t>]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</w:p>
    <w:p w:rsidR="00AF5C34" w:rsidRPr="00AF5C34" w:rsidRDefault="00AF5C34" w:rsidP="009B4D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i/>
          <w:color w:val="FF0000"/>
          <w:sz w:val="28"/>
          <w:szCs w:val="28"/>
          <w:lang w:val="uk-UA" w:eastAsia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Під час розрахунку економічної ефективності враховували витрати на зберігання і зміну вартості товарної продукції </w:t>
      </w:r>
      <w:r w:rsidRPr="00717D57">
        <w:rPr>
          <w:rFonts w:ascii="Times New Roman" w:eastAsia="Calibri" w:hAnsi="Times New Roman" w:cs="Times New Roman"/>
          <w:sz w:val="28"/>
          <w:szCs w:val="28"/>
          <w:lang w:val="uk-UA"/>
        </w:rPr>
        <w:t>[</w:t>
      </w:r>
      <w:r w:rsidR="00EC14CB">
        <w:rPr>
          <w:rFonts w:ascii="Times New Roman" w:eastAsia="Calibri" w:hAnsi="Times New Roman" w:cs="Times New Roman"/>
          <w:sz w:val="28"/>
          <w:szCs w:val="28"/>
          <w:lang w:val="uk-UA"/>
        </w:rPr>
        <w:t>6</w:t>
      </w:r>
      <w:r w:rsidRPr="00717D57">
        <w:rPr>
          <w:rFonts w:ascii="Times New Roman" w:eastAsia="Calibri" w:hAnsi="Times New Roman" w:cs="Times New Roman"/>
          <w:sz w:val="28"/>
          <w:szCs w:val="28"/>
          <w:lang w:val="uk-UA"/>
        </w:rPr>
        <w:t>].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Вартість плодів під час закладання на зберігання враховували за закупівельною ціною 15000 грн/т, а після зберігання – за гуртовою, беручи до уваги товарну сортність, природні втрати і втрати від фізіологічних розладів та грибкових захворювань. </w:t>
      </w:r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Результати досліджень обробляли методом дисперсійного аналізу за програмою «</w:t>
      </w:r>
      <w:proofErr w:type="spellStart"/>
      <w:r w:rsidRPr="00144123">
        <w:rPr>
          <w:rFonts w:ascii="Times New Roman" w:eastAsia="Calibri" w:hAnsi="Times New Roman" w:cs="Times New Roman"/>
          <w:sz w:val="28"/>
          <w:szCs w:val="28"/>
          <w:lang w:val="en-US"/>
        </w:rPr>
        <w:t>Statistica</w:t>
      </w:r>
      <w:proofErr w:type="spellEnd"/>
      <w:r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-6».</w:t>
      </w:r>
    </w:p>
    <w:p w:rsidR="00A07691" w:rsidRDefault="00374508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Зміна якості плодів груші сорту </w:t>
      </w:r>
      <w:proofErr w:type="spellStart"/>
      <w:r>
        <w:rPr>
          <w:rFonts w:ascii="Times New Roman" w:eastAsia="Calibri" w:hAnsi="Times New Roman" w:cs="Times New Roman"/>
          <w:sz w:val="28"/>
          <w:szCs w:val="28"/>
          <w:lang w:val="uk-UA"/>
        </w:rPr>
        <w:t>Яніс</w:t>
      </w:r>
      <w:proofErr w:type="spellEnd"/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під час шестимісячного зберігання визначалася строком збирання, режимом охолодження й обробкою інгібітором етилену (табл. 1). </w:t>
      </w:r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>Після шести місяців зберігання в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>ихід товарної продукції необроблених інгібітором</w:t>
      </w:r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етилену плодів масового 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збирання склав </w:t>
      </w:r>
      <w:r w:rsidR="00554C4D">
        <w:rPr>
          <w:rFonts w:ascii="Times New Roman" w:eastAsia="Calibri" w:hAnsi="Times New Roman" w:cs="Times New Roman"/>
          <w:sz w:val="28"/>
          <w:szCs w:val="28"/>
          <w:lang w:val="uk-UA"/>
        </w:rPr>
        <w:t>78,2</w:t>
      </w:r>
      <w:r w:rsidR="00C7630D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554C4D">
        <w:rPr>
          <w:rFonts w:ascii="Times New Roman" w:eastAsia="Calibri" w:hAnsi="Times New Roman" w:cs="Times New Roman"/>
          <w:sz w:val="28"/>
          <w:szCs w:val="28"/>
          <w:lang w:val="uk-UA"/>
        </w:rPr>
        <w:t>88,1</w:t>
      </w:r>
      <w:r w:rsidR="00C7630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%, незалежно від режиму охолодження. Обробка ж інгібітором етилену забезпечила на </w:t>
      </w:r>
      <w:r w:rsidR="00554C4D">
        <w:rPr>
          <w:rFonts w:ascii="Times New Roman" w:eastAsia="Calibri" w:hAnsi="Times New Roman" w:cs="Times New Roman"/>
          <w:sz w:val="28"/>
          <w:szCs w:val="28"/>
          <w:lang w:val="uk-UA"/>
        </w:rPr>
        <w:t>7,2</w:t>
      </w:r>
      <w:r w:rsidR="00C7630D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="00554C4D">
        <w:rPr>
          <w:rFonts w:ascii="Times New Roman" w:eastAsia="Calibri" w:hAnsi="Times New Roman" w:cs="Times New Roman"/>
          <w:sz w:val="28"/>
          <w:szCs w:val="28"/>
          <w:lang w:val="uk-UA"/>
        </w:rPr>
        <w:t>11,7</w:t>
      </w:r>
      <w:r w:rsidR="00C7630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% вищий рівень показника. Незалежно від затримки охолодження, това</w:t>
      </w:r>
      <w:r w:rsidR="003E2785">
        <w:rPr>
          <w:rFonts w:ascii="Times New Roman" w:eastAsia="Calibri" w:hAnsi="Times New Roman" w:cs="Times New Roman"/>
          <w:sz w:val="28"/>
          <w:szCs w:val="28"/>
          <w:lang w:val="uk-UA"/>
        </w:rPr>
        <w:t>рність плодів запізнілого збору –</w:t>
      </w:r>
      <w:r w:rsidR="00C7630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рівні </w:t>
      </w:r>
      <w:r w:rsidR="003E4B2D">
        <w:rPr>
          <w:rFonts w:ascii="Times New Roman" w:eastAsia="Calibri" w:hAnsi="Times New Roman" w:cs="Times New Roman"/>
          <w:sz w:val="28"/>
          <w:szCs w:val="28"/>
          <w:lang w:val="uk-UA"/>
        </w:rPr>
        <w:t>95,1–92,5</w:t>
      </w:r>
      <w:r w:rsidR="00C0476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% з</w:t>
      </w:r>
      <w:r w:rsidR="00C7630D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04765">
        <w:rPr>
          <w:rFonts w:ascii="Times New Roman" w:eastAsia="Calibri" w:hAnsi="Times New Roman" w:cs="Times New Roman"/>
          <w:sz w:val="28"/>
          <w:szCs w:val="28"/>
          <w:lang w:val="uk-UA"/>
        </w:rPr>
        <w:t>відсутнім позитивним впливом інгібітор</w:t>
      </w:r>
      <w:r w:rsidR="002D5C7E">
        <w:rPr>
          <w:rFonts w:ascii="Times New Roman" w:eastAsia="Calibri" w:hAnsi="Times New Roman" w:cs="Times New Roman"/>
          <w:sz w:val="28"/>
          <w:szCs w:val="28"/>
          <w:lang w:val="uk-UA"/>
        </w:rPr>
        <w:t>у</w:t>
      </w:r>
      <w:r w:rsidR="00C04765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етилену</w:t>
      </w:r>
      <w:r w:rsidR="00C7630D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7B49C3" w:rsidRPr="005577FB" w:rsidRDefault="007B49C3" w:rsidP="007B49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</w:pPr>
      <w:r w:rsidRPr="006D38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Найбільші природні втрати у необроблених інгібітором етилену й охолоджених із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затримкою плодів масового</w:t>
      </w:r>
      <w:r w:rsidRPr="006D38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збирання, а показник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аналогічних запізніло зібраних груш</w:t>
      </w:r>
      <w:r w:rsidRPr="006D38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на 2,3 % нижчий, порівняно з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подібною продукцією масового збору</w:t>
      </w:r>
      <w:r w:rsidRPr="006D38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 Негайне охолодження знизило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природні втрати на 2,6 % лише для</w:t>
      </w:r>
      <w:r w:rsidRPr="006D38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нео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броблених плодів масового</w:t>
      </w:r>
      <w:r w:rsidRPr="006D38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збирання, без суттєвого впливу на показник запізніло зібран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ої</w:t>
      </w:r>
      <w:r w:rsidRPr="006D38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продукції</w:t>
      </w:r>
      <w:r w:rsidRPr="006D38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. Післязбиральна обробка інгібітором етилену ефе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ктивно вплинула лише на масово зібрані й охолоджені із затримкою плоди</w:t>
      </w:r>
      <w:r w:rsidRPr="006D386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, знизивши на 1,7 % природні втрати.</w:t>
      </w:r>
    </w:p>
    <w:p w:rsidR="007B49C3" w:rsidRDefault="007B49C3" w:rsidP="007B49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Технічний брак виявлено лише у груш масового збирання, з найбільшим рівнем 14,6 % у необроблених інгібітором етилену й охолоджених із затримкою плодів. У запізніло зібраної продукції технічний брак відсутній, незалежно від строку збирання, режиму охолодженні й обробки інгібітором етилену. Абсолютний відхід зафіксовано у необроблених інгібітором етилену й негайно охолоджених плодів за обох строків збирання.</w:t>
      </w:r>
    </w:p>
    <w:p w:rsidR="007B49C3" w:rsidRPr="007B49C3" w:rsidRDefault="007B49C3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374508" w:rsidRPr="00374508" w:rsidRDefault="00374508" w:rsidP="009B4DB9">
      <w:pPr>
        <w:spacing w:after="0" w:line="240" w:lineRule="auto"/>
        <w:jc w:val="right"/>
        <w:rPr>
          <w:rFonts w:ascii="Times New Roman" w:eastAsia="Calibri" w:hAnsi="Times New Roman" w:cs="Times New Roman"/>
          <w:i/>
          <w:sz w:val="28"/>
          <w:szCs w:val="28"/>
          <w:lang w:val="uk-UA"/>
        </w:rPr>
      </w:pPr>
      <w:r w:rsidRPr="00374508">
        <w:rPr>
          <w:rFonts w:ascii="Times New Roman" w:eastAsia="Calibri" w:hAnsi="Times New Roman" w:cs="Times New Roman"/>
          <w:i/>
          <w:sz w:val="28"/>
          <w:szCs w:val="28"/>
          <w:lang w:val="uk-UA"/>
        </w:rPr>
        <w:lastRenderedPageBreak/>
        <w:t>Таблиця 1</w:t>
      </w:r>
    </w:p>
    <w:p w:rsidR="007B49C3" w:rsidRPr="00F63AD3" w:rsidRDefault="005036A2" w:rsidP="007B49C3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F63AD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Товарн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ість</w:t>
      </w:r>
      <w:r w:rsidRPr="00D6204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 w:rsidRPr="00F63AD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і природні втрати 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груш</w:t>
      </w:r>
      <w:r w:rsidRPr="00F63AD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сорту 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Яніс</w:t>
      </w:r>
      <w:proofErr w:type="spellEnd"/>
      <w:r w:rsidRPr="00F63AD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залежно від 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строк</w:t>
      </w:r>
      <w:r w:rsidR="00C04765">
        <w:rPr>
          <w:rFonts w:ascii="Times New Roman" w:eastAsia="Calibri" w:hAnsi="Times New Roman" w:cs="Times New Roman"/>
          <w:b/>
          <w:sz w:val="28"/>
          <w:szCs w:val="28"/>
          <w:lang w:val="uk-UA"/>
        </w:rPr>
        <w:t>у збирання, режиму охолодження та</w:t>
      </w:r>
      <w:r w:rsidRPr="00F63AD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післязбиральної обробки інгібітором етилену, після семи</w:t>
      </w:r>
      <w:r w:rsidR="00C04765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місяців</w:t>
      </w:r>
      <w:r w:rsidRPr="00F63AD3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зберігання (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в</w:t>
      </w:r>
      <w:r w:rsidR="008F4BE6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рожай 2013 </w:t>
      </w:r>
      <w:r w:rsidRPr="00F63AD3">
        <w:rPr>
          <w:rFonts w:ascii="Times New Roman" w:eastAsia="Calibri" w:hAnsi="Times New Roman" w:cs="Times New Roman"/>
          <w:b/>
          <w:sz w:val="28"/>
          <w:szCs w:val="28"/>
          <w:lang w:val="uk-UA"/>
        </w:rPr>
        <w:t>р.), %</w:t>
      </w:r>
      <w:bookmarkStart w:id="0" w:name="_GoBack"/>
      <w:bookmarkEnd w:id="0"/>
    </w:p>
    <w:tbl>
      <w:tblPr>
        <w:tblStyle w:val="a3"/>
        <w:tblW w:w="935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560"/>
        <w:gridCol w:w="1842"/>
        <w:gridCol w:w="993"/>
        <w:gridCol w:w="708"/>
        <w:gridCol w:w="993"/>
        <w:gridCol w:w="708"/>
        <w:gridCol w:w="709"/>
        <w:gridCol w:w="1134"/>
        <w:gridCol w:w="709"/>
      </w:tblGrid>
      <w:tr w:rsidR="00FD7E3A" w:rsidRPr="008F4BE6" w:rsidTr="00C7637B">
        <w:trPr>
          <w:trHeight w:val="531"/>
        </w:trPr>
        <w:tc>
          <w:tcPr>
            <w:tcW w:w="1560" w:type="dxa"/>
            <w:vMerge w:val="restart"/>
            <w:textDirection w:val="btLr"/>
            <w:vAlign w:val="center"/>
          </w:tcPr>
          <w:p w:rsidR="00F42FC7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D7E3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Строк</w:t>
            </w:r>
          </w:p>
          <w:p w:rsidR="00FD7E3A" w:rsidRPr="00FD7E3A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D7E3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збирання</w:t>
            </w:r>
          </w:p>
        </w:tc>
        <w:tc>
          <w:tcPr>
            <w:tcW w:w="1842" w:type="dxa"/>
            <w:vMerge w:val="restart"/>
            <w:textDirection w:val="btLr"/>
            <w:vAlign w:val="center"/>
          </w:tcPr>
          <w:p w:rsidR="00FD7E3A" w:rsidRPr="00FD7E3A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D7E3A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Режим охолодження</w:t>
            </w:r>
          </w:p>
        </w:tc>
        <w:tc>
          <w:tcPr>
            <w:tcW w:w="993" w:type="dxa"/>
            <w:vMerge w:val="restart"/>
            <w:textDirection w:val="btLr"/>
            <w:vAlign w:val="center"/>
          </w:tcPr>
          <w:p w:rsidR="00FD7E3A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Доза </w:t>
            </w:r>
          </w:p>
          <w:p w:rsidR="00FD7E3A" w:rsidRPr="00F63AD3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vertAlign w:val="superscript"/>
                <w:lang w:val="uk-UA"/>
              </w:rPr>
            </w:pPr>
            <w:proofErr w:type="spellStart"/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СмартФреш</w:t>
            </w:r>
            <w:proofErr w:type="spellEnd"/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, г/м</w:t>
            </w: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vertAlign w:val="superscript"/>
                <w:lang w:val="uk-UA"/>
              </w:rPr>
              <w:t>3</w:t>
            </w:r>
          </w:p>
        </w:tc>
        <w:tc>
          <w:tcPr>
            <w:tcW w:w="2409" w:type="dxa"/>
            <w:gridSpan w:val="3"/>
            <w:vAlign w:val="center"/>
          </w:tcPr>
          <w:p w:rsidR="00FD7E3A" w:rsidRPr="00F63AD3" w:rsidRDefault="00FD7E3A" w:rsidP="009B4DB9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Товарна продукція</w:t>
            </w:r>
          </w:p>
        </w:tc>
        <w:tc>
          <w:tcPr>
            <w:tcW w:w="709" w:type="dxa"/>
            <w:vMerge w:val="restart"/>
            <w:textDirection w:val="btLr"/>
            <w:vAlign w:val="center"/>
          </w:tcPr>
          <w:p w:rsidR="00FD7E3A" w:rsidRPr="00F63AD3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Технічний</w:t>
            </w:r>
          </w:p>
          <w:p w:rsidR="00FD7E3A" w:rsidRPr="00F63AD3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брак</w:t>
            </w:r>
          </w:p>
        </w:tc>
        <w:tc>
          <w:tcPr>
            <w:tcW w:w="1134" w:type="dxa"/>
            <w:vMerge w:val="restart"/>
            <w:textDirection w:val="btLr"/>
            <w:vAlign w:val="center"/>
          </w:tcPr>
          <w:p w:rsidR="00FD7E3A" w:rsidRPr="00F63AD3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Абсолютний</w:t>
            </w:r>
          </w:p>
          <w:p w:rsidR="00FD7E3A" w:rsidRPr="00F63AD3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відхід</w:t>
            </w:r>
          </w:p>
        </w:tc>
        <w:tc>
          <w:tcPr>
            <w:tcW w:w="709" w:type="dxa"/>
            <w:vMerge w:val="restart"/>
            <w:textDirection w:val="btLr"/>
            <w:vAlign w:val="center"/>
          </w:tcPr>
          <w:p w:rsidR="00FD7E3A" w:rsidRPr="00F63AD3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Природні</w:t>
            </w:r>
          </w:p>
          <w:p w:rsidR="00FD7E3A" w:rsidRPr="00F63AD3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втрати</w:t>
            </w:r>
          </w:p>
        </w:tc>
      </w:tr>
      <w:tr w:rsidR="00FD7E3A" w:rsidRPr="00405CB4" w:rsidTr="00C7637B">
        <w:trPr>
          <w:trHeight w:val="378"/>
        </w:trPr>
        <w:tc>
          <w:tcPr>
            <w:tcW w:w="1560" w:type="dxa"/>
            <w:vMerge/>
          </w:tcPr>
          <w:p w:rsidR="00FD7E3A" w:rsidRPr="00405CB4" w:rsidRDefault="00FD7E3A" w:rsidP="009B4DB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  <w:vMerge/>
          </w:tcPr>
          <w:p w:rsidR="00FD7E3A" w:rsidRPr="00405CB4" w:rsidRDefault="00FD7E3A" w:rsidP="009B4DB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3" w:type="dxa"/>
            <w:vMerge/>
          </w:tcPr>
          <w:p w:rsidR="00FD7E3A" w:rsidRPr="00405CB4" w:rsidRDefault="00FD7E3A" w:rsidP="009B4DB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vMerge w:val="restart"/>
            <w:textDirection w:val="btLr"/>
            <w:vAlign w:val="center"/>
          </w:tcPr>
          <w:p w:rsidR="00FD7E3A" w:rsidRPr="00F63AD3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усього*</w:t>
            </w:r>
          </w:p>
        </w:tc>
        <w:tc>
          <w:tcPr>
            <w:tcW w:w="1701" w:type="dxa"/>
            <w:gridSpan w:val="2"/>
            <w:vAlign w:val="center"/>
          </w:tcPr>
          <w:p w:rsidR="00FD7E3A" w:rsidRPr="00F63AD3" w:rsidRDefault="00FD7E3A" w:rsidP="009B4DB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у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т.ч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. </w:t>
            </w: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сорти </w:t>
            </w:r>
          </w:p>
        </w:tc>
        <w:tc>
          <w:tcPr>
            <w:tcW w:w="709" w:type="dxa"/>
            <w:vMerge/>
            <w:vAlign w:val="center"/>
          </w:tcPr>
          <w:p w:rsidR="00FD7E3A" w:rsidRPr="00405CB4" w:rsidRDefault="00FD7E3A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Merge/>
          </w:tcPr>
          <w:p w:rsidR="00FD7E3A" w:rsidRPr="00405CB4" w:rsidRDefault="00FD7E3A" w:rsidP="009B4DB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</w:tcPr>
          <w:p w:rsidR="00FD7E3A" w:rsidRPr="00405CB4" w:rsidRDefault="00FD7E3A" w:rsidP="009B4DB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FD7E3A" w:rsidRPr="00405CB4" w:rsidTr="00C7637B">
        <w:trPr>
          <w:cantSplit/>
          <w:trHeight w:val="1262"/>
        </w:trPr>
        <w:tc>
          <w:tcPr>
            <w:tcW w:w="1560" w:type="dxa"/>
            <w:vMerge/>
          </w:tcPr>
          <w:p w:rsidR="00FD7E3A" w:rsidRPr="00405CB4" w:rsidRDefault="00FD7E3A" w:rsidP="009B4DB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  <w:vMerge/>
          </w:tcPr>
          <w:p w:rsidR="00FD7E3A" w:rsidRPr="00405CB4" w:rsidRDefault="00FD7E3A" w:rsidP="009B4DB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3" w:type="dxa"/>
            <w:vMerge/>
          </w:tcPr>
          <w:p w:rsidR="00FD7E3A" w:rsidRPr="00405CB4" w:rsidRDefault="00FD7E3A" w:rsidP="009B4DB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8" w:type="dxa"/>
            <w:vMerge/>
            <w:vAlign w:val="center"/>
          </w:tcPr>
          <w:p w:rsidR="00FD7E3A" w:rsidRPr="00F63AD3" w:rsidRDefault="00FD7E3A" w:rsidP="009B4DB9">
            <w:pP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993" w:type="dxa"/>
            <w:textDirection w:val="btLr"/>
            <w:vAlign w:val="center"/>
          </w:tcPr>
          <w:p w:rsidR="00FD7E3A" w:rsidRPr="00F63AD3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вищий</w:t>
            </w:r>
          </w:p>
        </w:tc>
        <w:tc>
          <w:tcPr>
            <w:tcW w:w="708" w:type="dxa"/>
            <w:textDirection w:val="btLr"/>
            <w:vAlign w:val="center"/>
          </w:tcPr>
          <w:p w:rsidR="00FD7E3A" w:rsidRPr="00F63AD3" w:rsidRDefault="00FD7E3A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перший</w:t>
            </w:r>
          </w:p>
        </w:tc>
        <w:tc>
          <w:tcPr>
            <w:tcW w:w="709" w:type="dxa"/>
            <w:vMerge/>
            <w:vAlign w:val="center"/>
          </w:tcPr>
          <w:p w:rsidR="00FD7E3A" w:rsidRPr="00405CB4" w:rsidRDefault="00FD7E3A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134" w:type="dxa"/>
            <w:vMerge/>
          </w:tcPr>
          <w:p w:rsidR="00FD7E3A" w:rsidRPr="00405CB4" w:rsidRDefault="00FD7E3A" w:rsidP="009B4DB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709" w:type="dxa"/>
            <w:vMerge/>
          </w:tcPr>
          <w:p w:rsidR="00FD7E3A" w:rsidRPr="00405CB4" w:rsidRDefault="00FD7E3A" w:rsidP="009B4DB9">
            <w:pPr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</w:tr>
      <w:tr w:rsidR="008F4BE6" w:rsidRPr="00405CB4" w:rsidTr="00C7637B">
        <w:tc>
          <w:tcPr>
            <w:tcW w:w="1560" w:type="dxa"/>
            <w:vMerge w:val="restart"/>
            <w:vAlign w:val="center"/>
          </w:tcPr>
          <w:p w:rsidR="008F4BE6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Масовий</w:t>
            </w:r>
          </w:p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(І)</w:t>
            </w:r>
          </w:p>
        </w:tc>
        <w:tc>
          <w:tcPr>
            <w:tcW w:w="1842" w:type="dxa"/>
            <w:vMerge w:val="restart"/>
            <w:vAlign w:val="center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Затримка охолодження</w:t>
            </w:r>
          </w:p>
        </w:tc>
        <w:tc>
          <w:tcPr>
            <w:tcW w:w="993" w:type="dxa"/>
            <w:vAlign w:val="center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708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78,2</w:t>
            </w:r>
          </w:p>
        </w:tc>
        <w:tc>
          <w:tcPr>
            <w:tcW w:w="993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78,2</w:t>
            </w:r>
          </w:p>
        </w:tc>
        <w:tc>
          <w:tcPr>
            <w:tcW w:w="708" w:type="dxa"/>
            <w:vAlign w:val="bottom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  <w:vAlign w:val="bottom"/>
          </w:tcPr>
          <w:p w:rsidR="008F4BE6" w:rsidRPr="004C31B3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14,6</w:t>
            </w:r>
          </w:p>
        </w:tc>
        <w:tc>
          <w:tcPr>
            <w:tcW w:w="1134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  <w:vAlign w:val="bottom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7,2</w:t>
            </w:r>
          </w:p>
        </w:tc>
      </w:tr>
      <w:tr w:rsidR="008F4BE6" w:rsidRPr="00405CB4" w:rsidTr="00C7637B">
        <w:tc>
          <w:tcPr>
            <w:tcW w:w="1560" w:type="dxa"/>
            <w:vMerge/>
            <w:vAlign w:val="center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  <w:vMerge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3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0,034</w:t>
            </w:r>
          </w:p>
        </w:tc>
        <w:tc>
          <w:tcPr>
            <w:tcW w:w="708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89,9</w:t>
            </w:r>
          </w:p>
        </w:tc>
        <w:tc>
          <w:tcPr>
            <w:tcW w:w="993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89,9</w:t>
            </w:r>
          </w:p>
        </w:tc>
        <w:tc>
          <w:tcPr>
            <w:tcW w:w="708" w:type="dxa"/>
            <w:vAlign w:val="bottom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  <w:vAlign w:val="bottom"/>
          </w:tcPr>
          <w:p w:rsidR="008F4BE6" w:rsidRPr="004C31B3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4,6</w:t>
            </w:r>
          </w:p>
        </w:tc>
        <w:tc>
          <w:tcPr>
            <w:tcW w:w="1134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  <w:vAlign w:val="bottom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5,5</w:t>
            </w:r>
          </w:p>
        </w:tc>
      </w:tr>
      <w:tr w:rsidR="008F4BE6" w:rsidRPr="00405CB4" w:rsidTr="00C7637B">
        <w:tc>
          <w:tcPr>
            <w:tcW w:w="1560" w:type="dxa"/>
            <w:vMerge/>
            <w:vAlign w:val="center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Негайне охолодження</w:t>
            </w:r>
          </w:p>
        </w:tc>
        <w:tc>
          <w:tcPr>
            <w:tcW w:w="993" w:type="dxa"/>
            <w:vAlign w:val="center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708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88,1</w:t>
            </w:r>
          </w:p>
        </w:tc>
        <w:tc>
          <w:tcPr>
            <w:tcW w:w="993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88,1</w:t>
            </w:r>
          </w:p>
        </w:tc>
        <w:tc>
          <w:tcPr>
            <w:tcW w:w="708" w:type="dxa"/>
            <w:vAlign w:val="bottom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  <w:vAlign w:val="bottom"/>
          </w:tcPr>
          <w:p w:rsidR="008F4BE6" w:rsidRPr="00255C7F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3,6</w:t>
            </w:r>
          </w:p>
        </w:tc>
        <w:tc>
          <w:tcPr>
            <w:tcW w:w="1134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3,7</w:t>
            </w:r>
          </w:p>
        </w:tc>
        <w:tc>
          <w:tcPr>
            <w:tcW w:w="709" w:type="dxa"/>
            <w:vAlign w:val="bottom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4,6</w:t>
            </w:r>
          </w:p>
        </w:tc>
      </w:tr>
      <w:tr w:rsidR="008F4BE6" w:rsidRPr="00405CB4" w:rsidTr="00C7637B">
        <w:tc>
          <w:tcPr>
            <w:tcW w:w="1560" w:type="dxa"/>
            <w:vMerge/>
            <w:vAlign w:val="center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  <w:vMerge/>
          </w:tcPr>
          <w:p w:rsidR="008F4BE6" w:rsidRPr="00405CB4" w:rsidRDefault="008F4BE6" w:rsidP="009B4DB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3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0,034</w:t>
            </w:r>
          </w:p>
        </w:tc>
        <w:tc>
          <w:tcPr>
            <w:tcW w:w="708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95,3</w:t>
            </w:r>
          </w:p>
        </w:tc>
        <w:tc>
          <w:tcPr>
            <w:tcW w:w="993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95,3</w:t>
            </w:r>
          </w:p>
        </w:tc>
        <w:tc>
          <w:tcPr>
            <w:tcW w:w="708" w:type="dxa"/>
            <w:vAlign w:val="bottom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  <w:vAlign w:val="bottom"/>
          </w:tcPr>
          <w:p w:rsidR="008F4BE6" w:rsidRPr="00255C7F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1134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  <w:vAlign w:val="bottom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4,7</w:t>
            </w:r>
          </w:p>
        </w:tc>
      </w:tr>
      <w:tr w:rsidR="008F4BE6" w:rsidRPr="00405CB4" w:rsidTr="00C7637B">
        <w:tc>
          <w:tcPr>
            <w:tcW w:w="1560" w:type="dxa"/>
            <w:vMerge w:val="restart"/>
            <w:vAlign w:val="center"/>
          </w:tcPr>
          <w:p w:rsidR="008F4BE6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Запізнілий</w:t>
            </w:r>
          </w:p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(ІІ)</w:t>
            </w:r>
          </w:p>
        </w:tc>
        <w:tc>
          <w:tcPr>
            <w:tcW w:w="1842" w:type="dxa"/>
            <w:vMerge w:val="restart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Затримка охолодження</w:t>
            </w:r>
          </w:p>
        </w:tc>
        <w:tc>
          <w:tcPr>
            <w:tcW w:w="993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708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95,1</w:t>
            </w:r>
          </w:p>
        </w:tc>
        <w:tc>
          <w:tcPr>
            <w:tcW w:w="993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95,1</w:t>
            </w:r>
          </w:p>
        </w:tc>
        <w:tc>
          <w:tcPr>
            <w:tcW w:w="708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</w:tcPr>
          <w:p w:rsidR="008F4BE6" w:rsidRPr="00255C7F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1134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4,9</w:t>
            </w:r>
          </w:p>
        </w:tc>
      </w:tr>
      <w:tr w:rsidR="008F4BE6" w:rsidRPr="00405CB4" w:rsidTr="00C7637B">
        <w:tc>
          <w:tcPr>
            <w:tcW w:w="1560" w:type="dxa"/>
            <w:vMerge/>
          </w:tcPr>
          <w:p w:rsidR="008F4BE6" w:rsidRPr="00405CB4" w:rsidRDefault="008F4BE6" w:rsidP="009B4DB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  <w:vMerge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3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0,034</w:t>
            </w:r>
          </w:p>
        </w:tc>
        <w:tc>
          <w:tcPr>
            <w:tcW w:w="708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94,3</w:t>
            </w:r>
          </w:p>
        </w:tc>
        <w:tc>
          <w:tcPr>
            <w:tcW w:w="993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94,3</w:t>
            </w:r>
          </w:p>
        </w:tc>
        <w:tc>
          <w:tcPr>
            <w:tcW w:w="708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</w:tcPr>
          <w:p w:rsidR="008F4BE6" w:rsidRPr="00255C7F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1134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5,7</w:t>
            </w:r>
          </w:p>
        </w:tc>
      </w:tr>
      <w:tr w:rsidR="008F4BE6" w:rsidRPr="00405CB4" w:rsidTr="00C7637B">
        <w:tc>
          <w:tcPr>
            <w:tcW w:w="1560" w:type="dxa"/>
            <w:vMerge/>
          </w:tcPr>
          <w:p w:rsidR="008F4BE6" w:rsidRPr="00405CB4" w:rsidRDefault="008F4BE6" w:rsidP="009B4DB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  <w:vMerge w:val="restart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Негайне охолодження</w:t>
            </w:r>
          </w:p>
        </w:tc>
        <w:tc>
          <w:tcPr>
            <w:tcW w:w="993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</w:t>
            </w:r>
          </w:p>
        </w:tc>
        <w:tc>
          <w:tcPr>
            <w:tcW w:w="708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92,5</w:t>
            </w:r>
          </w:p>
        </w:tc>
        <w:tc>
          <w:tcPr>
            <w:tcW w:w="993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92,5</w:t>
            </w:r>
          </w:p>
        </w:tc>
        <w:tc>
          <w:tcPr>
            <w:tcW w:w="708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</w:tcPr>
          <w:p w:rsidR="008F4BE6" w:rsidRPr="00255C7F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1134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3,1</w:t>
            </w:r>
          </w:p>
        </w:tc>
        <w:tc>
          <w:tcPr>
            <w:tcW w:w="709" w:type="dxa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4,4</w:t>
            </w:r>
          </w:p>
        </w:tc>
      </w:tr>
      <w:tr w:rsidR="008F4BE6" w:rsidRPr="00405CB4" w:rsidTr="00C7637B">
        <w:tc>
          <w:tcPr>
            <w:tcW w:w="1560" w:type="dxa"/>
            <w:vMerge/>
          </w:tcPr>
          <w:p w:rsidR="008F4BE6" w:rsidRPr="00405CB4" w:rsidRDefault="008F4BE6" w:rsidP="009B4DB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1842" w:type="dxa"/>
            <w:vMerge/>
          </w:tcPr>
          <w:p w:rsidR="008F4BE6" w:rsidRPr="00405CB4" w:rsidRDefault="008F4BE6" w:rsidP="009B4DB9">
            <w:pPr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</w:tc>
        <w:tc>
          <w:tcPr>
            <w:tcW w:w="993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0,034</w:t>
            </w:r>
          </w:p>
        </w:tc>
        <w:tc>
          <w:tcPr>
            <w:tcW w:w="708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94,5</w:t>
            </w:r>
          </w:p>
        </w:tc>
        <w:tc>
          <w:tcPr>
            <w:tcW w:w="993" w:type="dxa"/>
            <w:vAlign w:val="center"/>
          </w:tcPr>
          <w:p w:rsidR="008F4BE6" w:rsidRPr="00E911C6" w:rsidRDefault="008F4BE6" w:rsidP="009B4DB9">
            <w:pPr>
              <w:jc w:val="center"/>
              <w:rPr>
                <w:rFonts w:ascii="Times New Roman" w:hAnsi="Times New Roman"/>
                <w:color w:val="000000"/>
                <w:sz w:val="28"/>
                <w:szCs w:val="28"/>
              </w:rPr>
            </w:pPr>
            <w:r w:rsidRPr="00E911C6">
              <w:rPr>
                <w:rFonts w:ascii="Times New Roman" w:hAnsi="Times New Roman"/>
                <w:color w:val="000000"/>
                <w:sz w:val="28"/>
                <w:szCs w:val="28"/>
              </w:rPr>
              <w:t>94,5</w:t>
            </w:r>
          </w:p>
        </w:tc>
        <w:tc>
          <w:tcPr>
            <w:tcW w:w="708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</w:tcPr>
          <w:p w:rsidR="008F4BE6" w:rsidRPr="00255C7F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1134" w:type="dxa"/>
          </w:tcPr>
          <w:p w:rsidR="008F4BE6" w:rsidRPr="00405CB4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0</w:t>
            </w:r>
          </w:p>
        </w:tc>
        <w:tc>
          <w:tcPr>
            <w:tcW w:w="709" w:type="dxa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/>
              </w:rPr>
              <w:t>5,5</w:t>
            </w:r>
          </w:p>
        </w:tc>
      </w:tr>
      <w:tr w:rsidR="008F4BE6" w:rsidRPr="00405CB4" w:rsidTr="00C7637B">
        <w:tc>
          <w:tcPr>
            <w:tcW w:w="4395" w:type="dxa"/>
            <w:gridSpan w:val="3"/>
          </w:tcPr>
          <w:p w:rsidR="008F4BE6" w:rsidRPr="00F42FC7" w:rsidRDefault="008F4BE6" w:rsidP="009B4DB9">
            <w:pPr>
              <w:jc w:val="right"/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</w:pPr>
            <w:r w:rsidRPr="00F42FC7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НІР</w:t>
            </w:r>
            <w:r w:rsidRPr="00F42FC7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  <w:t>05</w:t>
            </w:r>
          </w:p>
        </w:tc>
        <w:tc>
          <w:tcPr>
            <w:tcW w:w="708" w:type="dxa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  <w:lang w:val="uk-UA"/>
              </w:rPr>
              <w:t>7,1</w:t>
            </w:r>
          </w:p>
        </w:tc>
        <w:tc>
          <w:tcPr>
            <w:tcW w:w="993" w:type="dxa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  <w:lang w:val="uk-UA"/>
              </w:rPr>
              <w:t>7,1</w:t>
            </w:r>
          </w:p>
        </w:tc>
        <w:tc>
          <w:tcPr>
            <w:tcW w:w="708" w:type="dxa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  <w:lang w:val="uk-UA"/>
              </w:rPr>
              <w:t>-</w:t>
            </w:r>
          </w:p>
        </w:tc>
        <w:tc>
          <w:tcPr>
            <w:tcW w:w="709" w:type="dxa"/>
          </w:tcPr>
          <w:p w:rsidR="008F4BE6" w:rsidRPr="006037CC" w:rsidRDefault="00540F6E" w:rsidP="009B4DB9">
            <w:pPr>
              <w:jc w:val="center"/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  <w:lang w:val="uk-UA"/>
              </w:rPr>
              <w:t>5,8</w:t>
            </w:r>
          </w:p>
        </w:tc>
        <w:tc>
          <w:tcPr>
            <w:tcW w:w="1134" w:type="dxa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  <w:lang w:val="uk-UA"/>
              </w:rPr>
            </w:pPr>
            <w:proofErr w:type="spellStart"/>
            <w:proofErr w:type="gramStart"/>
            <w:r w:rsidRPr="00845BBA">
              <w:rPr>
                <w:rFonts w:ascii="Times New Roman" w:hAnsi="Times New Roman"/>
                <w:i/>
                <w:color w:val="000000"/>
                <w:sz w:val="28"/>
                <w:szCs w:val="28"/>
              </w:rPr>
              <w:t>F</w:t>
            </w:r>
            <w:proofErr w:type="gramEnd"/>
            <w:r w:rsidRPr="00845BBA">
              <w:rPr>
                <w:rFonts w:ascii="Times New Roman" w:hAnsi="Times New Roman"/>
                <w:i/>
                <w:color w:val="000000"/>
                <w:sz w:val="28"/>
                <w:szCs w:val="28"/>
                <w:vertAlign w:val="subscript"/>
              </w:rPr>
              <w:t>ф</w:t>
            </w:r>
            <w:proofErr w:type="spellEnd"/>
            <w:r w:rsidRPr="00845BBA">
              <w:rPr>
                <w:rFonts w:ascii="Times New Roman" w:hAnsi="Times New Roman"/>
                <w:i/>
                <w:color w:val="000000"/>
                <w:sz w:val="28"/>
                <w:szCs w:val="28"/>
              </w:rPr>
              <w:t>&lt;F</w:t>
            </w:r>
            <w:r w:rsidRPr="00845BBA">
              <w:rPr>
                <w:rFonts w:ascii="Times New Roman" w:hAnsi="Times New Roman"/>
                <w:i/>
                <w:color w:val="000000"/>
                <w:sz w:val="28"/>
                <w:szCs w:val="28"/>
                <w:vertAlign w:val="subscript"/>
                <w:lang w:val="uk-UA"/>
              </w:rPr>
              <w:t>05</w:t>
            </w:r>
          </w:p>
        </w:tc>
        <w:tc>
          <w:tcPr>
            <w:tcW w:w="709" w:type="dxa"/>
          </w:tcPr>
          <w:p w:rsidR="008F4BE6" w:rsidRPr="006037CC" w:rsidRDefault="008F4BE6" w:rsidP="009B4DB9">
            <w:pPr>
              <w:jc w:val="center"/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  <w:lang w:val="uk-UA"/>
              </w:rPr>
            </w:pPr>
            <w:r w:rsidRPr="006037CC">
              <w:rPr>
                <w:rFonts w:ascii="Times New Roman" w:hAnsi="Times New Roman" w:cs="Times New Roman"/>
                <w:i/>
                <w:color w:val="000000" w:themeColor="text1"/>
                <w:sz w:val="28"/>
                <w:szCs w:val="28"/>
                <w:lang w:val="uk-UA"/>
              </w:rPr>
              <w:t>1,3</w:t>
            </w:r>
          </w:p>
        </w:tc>
      </w:tr>
    </w:tbl>
    <w:p w:rsidR="005036A2" w:rsidRPr="00E42C0A" w:rsidRDefault="005036A2" w:rsidP="009B4DB9">
      <w:pPr>
        <w:spacing w:after="0" w:line="24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E42C0A">
        <w:rPr>
          <w:rFonts w:ascii="Times New Roman" w:eastAsia="Calibri" w:hAnsi="Times New Roman" w:cs="Times New Roman"/>
          <w:sz w:val="28"/>
          <w:szCs w:val="28"/>
          <w:lang w:val="uk-UA"/>
        </w:rPr>
        <w:t>Примітка. * Сума вищого і першого сортів.</w:t>
      </w:r>
    </w:p>
    <w:p w:rsidR="00EC14CB" w:rsidRDefault="00EC14CB" w:rsidP="009B4DB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</w:p>
    <w:p w:rsidR="00EC14CB" w:rsidRDefault="00AA32AA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Встановлено, що економічна ефективність зберігання груш </w:t>
      </w:r>
      <w:r w:rsidR="00C0476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визначалася строком збирання, режимом охолодження і післязбиральною обробкою</w:t>
      </w: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 xml:space="preserve"> інгібітором етилену (табл. 2).</w:t>
      </w:r>
      <w:r w:rsidR="00C71BF9" w:rsidRPr="00C71BF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1BF9">
        <w:rPr>
          <w:rFonts w:ascii="Times New Roman" w:hAnsi="Times New Roman" w:cs="Times New Roman"/>
          <w:sz w:val="28"/>
          <w:szCs w:val="28"/>
          <w:lang w:val="uk-UA"/>
        </w:rPr>
        <w:t xml:space="preserve">Нижчою собівартістю зберігання вирізнялася негайно охолоджена, необроблена інгібітором етилену продукція обох строків збирання. </w:t>
      </w:r>
    </w:p>
    <w:p w:rsidR="00EC14CB" w:rsidRDefault="00EC14CB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Затримка охолодження необроблених інгібіторо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>м етилену плодів масового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збирання 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 xml:space="preserve">підвищила </w:t>
      </w:r>
      <w:r>
        <w:rPr>
          <w:rFonts w:ascii="Times New Roman" w:hAnsi="Times New Roman" w:cs="Times New Roman"/>
          <w:sz w:val="28"/>
          <w:szCs w:val="28"/>
          <w:lang w:val="uk-UA"/>
        </w:rPr>
        <w:t>на 163,5 грн/т собівартість зберігання, а запізнілого – на 113,4 грн/т. Післязбиральна ж обробка плодів інгібітором етилену підвищила собівартість зберігання груш на 210,8–361,0 грн/т, незалежно від строку збирання і режиму охолодження.</w:t>
      </w:r>
    </w:p>
    <w:p w:rsidR="005577FB" w:rsidRDefault="00C04765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 обох режимів охолодження п</w:t>
      </w:r>
      <w:r w:rsidR="005577FB">
        <w:rPr>
          <w:rFonts w:ascii="Times New Roman" w:hAnsi="Times New Roman" w:cs="Times New Roman"/>
          <w:sz w:val="28"/>
          <w:szCs w:val="28"/>
          <w:lang w:val="uk-UA"/>
        </w:rPr>
        <w:t xml:space="preserve">рибуток від реалізації масово зібраних й оброблених інгібітором етилену плодів вищий на 352,8–589,8 грн/т, порівняно з </w:t>
      </w:r>
      <w:r>
        <w:rPr>
          <w:rFonts w:ascii="Times New Roman" w:hAnsi="Times New Roman" w:cs="Times New Roman"/>
          <w:sz w:val="28"/>
          <w:szCs w:val="28"/>
          <w:lang w:val="uk-UA"/>
        </w:rPr>
        <w:t>продукцією</w:t>
      </w:r>
      <w:r w:rsidR="005577FB">
        <w:rPr>
          <w:rFonts w:ascii="Times New Roman" w:hAnsi="Times New Roman" w:cs="Times New Roman"/>
          <w:sz w:val="28"/>
          <w:szCs w:val="28"/>
          <w:lang w:val="uk-UA"/>
        </w:rPr>
        <w:t xml:space="preserve"> без обробки. Післязбиральна обробка інгібітором етилену збільшила прибуток від реалізації запізніло зібраних </w:t>
      </w:r>
      <w:r w:rsidR="00D47D1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5577FB">
        <w:rPr>
          <w:rFonts w:ascii="Times New Roman" w:hAnsi="Times New Roman" w:cs="Times New Roman"/>
          <w:sz w:val="28"/>
          <w:szCs w:val="28"/>
          <w:lang w:val="uk-UA"/>
        </w:rPr>
        <w:t xml:space="preserve"> негайно охолоджених плодів на 61,5 грн</w:t>
      </w:r>
      <w:r>
        <w:rPr>
          <w:rFonts w:ascii="Times New Roman" w:hAnsi="Times New Roman" w:cs="Times New Roman"/>
          <w:sz w:val="28"/>
          <w:szCs w:val="28"/>
          <w:lang w:val="uk-UA"/>
        </w:rPr>
        <w:t>/т, тоді як</w:t>
      </w:r>
      <w:r w:rsidR="005577FB">
        <w:rPr>
          <w:rFonts w:ascii="Times New Roman" w:hAnsi="Times New Roman" w:cs="Times New Roman"/>
          <w:sz w:val="28"/>
          <w:szCs w:val="28"/>
          <w:lang w:val="uk-UA"/>
        </w:rPr>
        <w:t xml:space="preserve"> застосування обробки для </w:t>
      </w:r>
      <w:r>
        <w:rPr>
          <w:rFonts w:ascii="Times New Roman" w:hAnsi="Times New Roman" w:cs="Times New Roman"/>
          <w:sz w:val="28"/>
          <w:szCs w:val="28"/>
          <w:lang w:val="uk-UA"/>
        </w:rPr>
        <w:t>подібних</w:t>
      </w:r>
      <w:r w:rsidR="005577FB">
        <w:rPr>
          <w:rFonts w:ascii="Times New Roman" w:hAnsi="Times New Roman" w:cs="Times New Roman"/>
          <w:sz w:val="28"/>
          <w:szCs w:val="28"/>
          <w:lang w:val="uk-UA"/>
        </w:rPr>
        <w:t xml:space="preserve"> плодів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577FB">
        <w:rPr>
          <w:rFonts w:ascii="Times New Roman" w:hAnsi="Times New Roman" w:cs="Times New Roman"/>
          <w:sz w:val="28"/>
          <w:szCs w:val="28"/>
          <w:lang w:val="uk-UA"/>
        </w:rPr>
        <w:t xml:space="preserve"> охолоджених із затримкою</w:t>
      </w:r>
      <w:r>
        <w:rPr>
          <w:rFonts w:ascii="Times New Roman" w:hAnsi="Times New Roman" w:cs="Times New Roman"/>
          <w:sz w:val="28"/>
          <w:szCs w:val="28"/>
          <w:lang w:val="uk-UA"/>
        </w:rPr>
        <w:t>, виявилося  недоцільним</w:t>
      </w:r>
      <w:r w:rsidR="005577F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B49C3" w:rsidRPr="007B49C3" w:rsidRDefault="007B49C3" w:rsidP="007B49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Після шести місяців зберігання обробка інгібітором етилену охолоджених із затримкою плодів масового строку збирання забезпечила на 17 пунктів, а негайно охолоджених – на 10,3 % вищу рентабельність (рис. 1). Негайне охолодження необробленої інгібітором етилену продукції підвищує рентабельність на 15 пунктів, порівняно з показником плодів, охолоджених на добу пізніше.</w:t>
      </w:r>
    </w:p>
    <w:p w:rsidR="005036A2" w:rsidRDefault="005036A2" w:rsidP="009B4DB9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lastRenderedPageBreak/>
        <w:t>Таблиця 2</w:t>
      </w:r>
    </w:p>
    <w:p w:rsidR="005036A2" w:rsidRPr="00F63AD3" w:rsidRDefault="005036A2" w:rsidP="009B4DB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</w:pPr>
      <w:r w:rsidRPr="00F63AD3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Економічна ефективність семимісячного зберігання </w:t>
      </w:r>
      <w:r w:rsidR="00255C7F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груш</w:t>
      </w:r>
      <w:r w:rsidRPr="00F63AD3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сорту </w:t>
      </w:r>
      <w:proofErr w:type="spellStart"/>
      <w:r w:rsidR="00255C7F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Яніс</w:t>
      </w:r>
      <w:proofErr w:type="spellEnd"/>
      <w:r w:rsidRPr="00F63AD3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залежно від </w:t>
      </w:r>
      <w:r w:rsidR="00255C7F"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>строку збирання, режиму охолодження і післязбиральної обробки інгібітором етилену</w:t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uk-UA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(врожай 2013</w:t>
      </w:r>
      <w:r w:rsidR="00607618">
        <w:rPr>
          <w:rFonts w:ascii="Times New Roman" w:eastAsia="Calibri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  <w:lang w:val="uk-UA"/>
        </w:rPr>
        <w:t>р.)</w:t>
      </w:r>
    </w:p>
    <w:tbl>
      <w:tblPr>
        <w:tblStyle w:val="1"/>
        <w:tblW w:w="9639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526"/>
        <w:gridCol w:w="1999"/>
        <w:gridCol w:w="1437"/>
        <w:gridCol w:w="1559"/>
        <w:gridCol w:w="1559"/>
        <w:gridCol w:w="1559"/>
      </w:tblGrid>
      <w:tr w:rsidR="00817D56" w:rsidRPr="004D4213" w:rsidTr="002D5C7E">
        <w:trPr>
          <w:cantSplit/>
          <w:trHeight w:val="2266"/>
        </w:trPr>
        <w:tc>
          <w:tcPr>
            <w:tcW w:w="1526" w:type="dxa"/>
            <w:tcBorders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817D56" w:rsidRDefault="00817D56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D7E3A">
              <w:rPr>
                <w:rFonts w:ascii="Times New Roman" w:hAnsi="Times New Roman" w:cs="Times New Roman"/>
                <w:b/>
                <w:sz w:val="28"/>
                <w:szCs w:val="28"/>
              </w:rPr>
              <w:t>Строк</w:t>
            </w:r>
          </w:p>
          <w:p w:rsidR="00817D56" w:rsidRPr="00FD7E3A" w:rsidRDefault="00817D56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D7E3A">
              <w:rPr>
                <w:rFonts w:ascii="Times New Roman" w:hAnsi="Times New Roman" w:cs="Times New Roman"/>
                <w:b/>
                <w:sz w:val="28"/>
                <w:szCs w:val="28"/>
              </w:rPr>
              <w:t>збирання</w:t>
            </w:r>
          </w:p>
        </w:tc>
        <w:tc>
          <w:tcPr>
            <w:tcW w:w="1999" w:type="dxa"/>
            <w:tcBorders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817D56" w:rsidRPr="00FD7E3A" w:rsidRDefault="00817D56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D7E3A">
              <w:rPr>
                <w:rFonts w:ascii="Times New Roman" w:hAnsi="Times New Roman" w:cs="Times New Roman"/>
                <w:b/>
                <w:sz w:val="28"/>
                <w:szCs w:val="28"/>
              </w:rPr>
              <w:t>Режим охолодження</w:t>
            </w:r>
          </w:p>
        </w:tc>
        <w:tc>
          <w:tcPr>
            <w:tcW w:w="1437" w:type="dxa"/>
            <w:tcBorders>
              <w:left w:val="single" w:sz="4" w:space="0" w:color="auto"/>
            </w:tcBorders>
            <w:textDirection w:val="btLr"/>
            <w:vAlign w:val="center"/>
          </w:tcPr>
          <w:p w:rsidR="00817D56" w:rsidRDefault="00817D56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Доза </w:t>
            </w:r>
          </w:p>
          <w:p w:rsidR="00817D56" w:rsidRPr="00F63AD3" w:rsidRDefault="00817D56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  <w:vertAlign w:val="superscript"/>
              </w:rPr>
            </w:pPr>
            <w:proofErr w:type="spellStart"/>
            <w:r w:rsidRPr="00F63AD3">
              <w:rPr>
                <w:rFonts w:ascii="Times New Roman" w:hAnsi="Times New Roman" w:cs="Times New Roman"/>
                <w:b/>
                <w:sz w:val="28"/>
                <w:szCs w:val="28"/>
              </w:rPr>
              <w:t>СмартФреш</w:t>
            </w:r>
            <w:proofErr w:type="spellEnd"/>
            <w:r w:rsidRPr="00F63AD3">
              <w:rPr>
                <w:rFonts w:ascii="Times New Roman" w:hAnsi="Times New Roman" w:cs="Times New Roman"/>
                <w:b/>
                <w:sz w:val="28"/>
                <w:szCs w:val="28"/>
              </w:rPr>
              <w:t>, г/м</w:t>
            </w:r>
            <w:r w:rsidRPr="00F63AD3">
              <w:rPr>
                <w:rFonts w:ascii="Times New Roman" w:hAnsi="Times New Roman" w:cs="Times New Roman"/>
                <w:b/>
                <w:sz w:val="28"/>
                <w:szCs w:val="28"/>
                <w:vertAlign w:val="superscript"/>
              </w:rPr>
              <w:t>3</w:t>
            </w:r>
          </w:p>
        </w:tc>
        <w:tc>
          <w:tcPr>
            <w:tcW w:w="1559" w:type="dxa"/>
            <w:tcBorders>
              <w:right w:val="single" w:sz="4" w:space="0" w:color="auto"/>
            </w:tcBorders>
            <w:textDirection w:val="btLr"/>
            <w:vAlign w:val="center"/>
          </w:tcPr>
          <w:p w:rsidR="00817D56" w:rsidRPr="00F63AD3" w:rsidRDefault="00817D56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</w:rPr>
              <w:t>Собівартість,</w:t>
            </w:r>
          </w:p>
          <w:p w:rsidR="00817D56" w:rsidRPr="00F63AD3" w:rsidRDefault="00817D56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</w:rPr>
              <w:t>грн/т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817D56" w:rsidRPr="00F63AD3" w:rsidRDefault="00817D56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</w:rPr>
              <w:t>Прибуток, грн/т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textDirection w:val="btLr"/>
            <w:vAlign w:val="center"/>
          </w:tcPr>
          <w:p w:rsidR="00817D56" w:rsidRPr="00F63AD3" w:rsidRDefault="00817D56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</w:rPr>
              <w:t>Рентабельність,</w:t>
            </w:r>
          </w:p>
          <w:p w:rsidR="00817D56" w:rsidRPr="00F63AD3" w:rsidRDefault="00817D56" w:rsidP="009B4DB9">
            <w:pPr>
              <w:ind w:left="113" w:right="113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63AD3">
              <w:rPr>
                <w:rFonts w:ascii="Times New Roman" w:hAnsi="Times New Roman" w:cs="Times New Roman"/>
                <w:b/>
                <w:sz w:val="28"/>
                <w:szCs w:val="28"/>
              </w:rPr>
              <w:t>%</w:t>
            </w:r>
          </w:p>
        </w:tc>
      </w:tr>
      <w:tr w:rsidR="00540F6E" w:rsidRPr="004D4213" w:rsidTr="002D5C7E">
        <w:tc>
          <w:tcPr>
            <w:tcW w:w="152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0F6E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Масовий</w:t>
            </w:r>
          </w:p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(І)</w:t>
            </w:r>
          </w:p>
        </w:tc>
        <w:tc>
          <w:tcPr>
            <w:tcW w:w="199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Затримка охолодження</w:t>
            </w:r>
          </w:p>
        </w:tc>
        <w:tc>
          <w:tcPr>
            <w:tcW w:w="1437" w:type="dxa"/>
            <w:tcBorders>
              <w:left w:val="single" w:sz="4" w:space="0" w:color="auto"/>
            </w:tcBorders>
            <w:vAlign w:val="center"/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bottom"/>
          </w:tcPr>
          <w:p w:rsidR="00540F6E" w:rsidRPr="00540F6E" w:rsidRDefault="00D26B4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177</w:t>
            </w:r>
            <w:r w:rsidR="00540F6E"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53,1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1329,7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43,0</w:t>
            </w:r>
          </w:p>
        </w:tc>
      </w:tr>
      <w:tr w:rsidR="00540F6E" w:rsidRPr="004D4213" w:rsidTr="002D5C7E">
        <w:tc>
          <w:tcPr>
            <w:tcW w:w="15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0F6E" w:rsidRPr="004D4213" w:rsidRDefault="00540F6E" w:rsidP="009B4DB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0F6E" w:rsidRPr="004D4213" w:rsidRDefault="00540F6E" w:rsidP="009B4DB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7" w:type="dxa"/>
            <w:tcBorders>
              <w:left w:val="single" w:sz="4" w:space="0" w:color="auto"/>
            </w:tcBorders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0,034</w:t>
            </w:r>
          </w:p>
        </w:tc>
        <w:tc>
          <w:tcPr>
            <w:tcW w:w="1559" w:type="dxa"/>
            <w:vAlign w:val="bottom"/>
          </w:tcPr>
          <w:p w:rsidR="00540F6E" w:rsidRPr="00540F6E" w:rsidRDefault="00D26B4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1796</w:t>
            </w:r>
            <w:r w:rsidR="00540F6E"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3,9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1919,5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60,0</w:t>
            </w:r>
          </w:p>
        </w:tc>
      </w:tr>
      <w:tr w:rsidR="00540F6E" w:rsidRPr="004D4213" w:rsidTr="002D5C7E">
        <w:tc>
          <w:tcPr>
            <w:tcW w:w="15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0F6E" w:rsidRPr="004D4213" w:rsidRDefault="00540F6E" w:rsidP="009B4DB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9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Негайне охолодження</w:t>
            </w:r>
          </w:p>
        </w:tc>
        <w:tc>
          <w:tcPr>
            <w:tcW w:w="1437" w:type="dxa"/>
            <w:tcBorders>
              <w:left w:val="single" w:sz="4" w:space="0" w:color="auto"/>
            </w:tcBorders>
            <w:vAlign w:val="center"/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17589,6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1858,3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58,0</w:t>
            </w:r>
          </w:p>
        </w:tc>
      </w:tr>
      <w:tr w:rsidR="00540F6E" w:rsidRPr="004D4213" w:rsidTr="002D5C7E">
        <w:tc>
          <w:tcPr>
            <w:tcW w:w="15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0F6E" w:rsidRPr="004D4213" w:rsidRDefault="00540F6E" w:rsidP="009B4DB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0F6E" w:rsidRPr="004D4213" w:rsidRDefault="00540F6E" w:rsidP="009B4DB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7" w:type="dxa"/>
            <w:tcBorders>
              <w:left w:val="single" w:sz="4" w:space="0" w:color="auto"/>
            </w:tcBorders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0,034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17827,2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2211,1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68,3</w:t>
            </w:r>
          </w:p>
        </w:tc>
      </w:tr>
      <w:tr w:rsidR="00540F6E" w:rsidRPr="004D4213" w:rsidTr="002D5C7E">
        <w:tc>
          <w:tcPr>
            <w:tcW w:w="1526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0F6E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Запізнілий</w:t>
            </w:r>
          </w:p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(ІІ)</w:t>
            </w:r>
          </w:p>
        </w:tc>
        <w:tc>
          <w:tcPr>
            <w:tcW w:w="199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Затримка охолодження</w:t>
            </w:r>
          </w:p>
        </w:tc>
        <w:tc>
          <w:tcPr>
            <w:tcW w:w="1437" w:type="dxa"/>
            <w:tcBorders>
              <w:left w:val="single" w:sz="4" w:space="0" w:color="auto"/>
            </w:tcBorders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17713,1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2222,5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69,4</w:t>
            </w:r>
          </w:p>
        </w:tc>
      </w:tr>
      <w:tr w:rsidR="00540F6E" w:rsidRPr="004D4213" w:rsidTr="002D5C7E">
        <w:tc>
          <w:tcPr>
            <w:tcW w:w="15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0F6E" w:rsidRPr="004D4213" w:rsidRDefault="00540F6E" w:rsidP="009B4DB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9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540F6E" w:rsidRDefault="00540F6E" w:rsidP="009B4DB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7" w:type="dxa"/>
            <w:tcBorders>
              <w:left w:val="single" w:sz="4" w:space="0" w:color="auto"/>
            </w:tcBorders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0,034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17994,5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2135,2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66,7</w:t>
            </w:r>
          </w:p>
        </w:tc>
      </w:tr>
      <w:tr w:rsidR="00540F6E" w:rsidRPr="004D4213" w:rsidTr="002D5C7E">
        <w:tc>
          <w:tcPr>
            <w:tcW w:w="15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0F6E" w:rsidRPr="004D4213" w:rsidRDefault="00540F6E" w:rsidP="009B4DB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9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Негайне охолодження</w:t>
            </w:r>
          </w:p>
        </w:tc>
        <w:tc>
          <w:tcPr>
            <w:tcW w:w="1437" w:type="dxa"/>
            <w:tcBorders>
              <w:left w:val="single" w:sz="4" w:space="0" w:color="auto"/>
            </w:tcBorders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17599,7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2088,8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64,9</w:t>
            </w:r>
          </w:p>
        </w:tc>
      </w:tr>
      <w:tr w:rsidR="00540F6E" w:rsidRPr="004D4213" w:rsidTr="002D5C7E">
        <w:tc>
          <w:tcPr>
            <w:tcW w:w="15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0F6E" w:rsidRPr="004D4213" w:rsidRDefault="00540F6E" w:rsidP="009B4DB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9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40F6E" w:rsidRDefault="00540F6E" w:rsidP="009B4DB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37" w:type="dxa"/>
            <w:tcBorders>
              <w:left w:val="single" w:sz="4" w:space="0" w:color="auto"/>
            </w:tcBorders>
          </w:tcPr>
          <w:p w:rsidR="00540F6E" w:rsidRPr="00405CB4" w:rsidRDefault="00540F6E" w:rsidP="009B4DB9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0,034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17960,7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2150,3</w:t>
            </w:r>
          </w:p>
        </w:tc>
        <w:tc>
          <w:tcPr>
            <w:tcW w:w="1559" w:type="dxa"/>
            <w:vAlign w:val="bottom"/>
          </w:tcPr>
          <w:p w:rsidR="00540F6E" w:rsidRPr="00540F6E" w:rsidRDefault="00540F6E" w:rsidP="009B4DB9">
            <w:pPr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540F6E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67,0</w:t>
            </w:r>
          </w:p>
        </w:tc>
      </w:tr>
    </w:tbl>
    <w:p w:rsidR="003B4E67" w:rsidRDefault="003B4E67" w:rsidP="009B4DB9">
      <w:pPr>
        <w:spacing w:line="240" w:lineRule="auto"/>
        <w:rPr>
          <w:lang w:val="uk-UA"/>
        </w:rPr>
      </w:pPr>
    </w:p>
    <w:p w:rsidR="00FE7F98" w:rsidRDefault="00FE7F98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 wp14:anchorId="1D870624" wp14:editId="6003462D">
            <wp:extent cx="6168788" cy="2893326"/>
            <wp:effectExtent l="0" t="0" r="3810" b="2540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FE7F98" w:rsidRDefault="007B49C3" w:rsidP="007B49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Рисунок</w:t>
      </w:r>
      <w:r w:rsidR="00FE7F98" w:rsidRPr="00FE7F98">
        <w:rPr>
          <w:rFonts w:ascii="Times New Roman" w:hAnsi="Times New Roman" w:cs="Times New Roman"/>
          <w:sz w:val="28"/>
          <w:szCs w:val="28"/>
          <w:lang w:val="uk-UA"/>
        </w:rPr>
        <w:t xml:space="preserve"> 1. </w:t>
      </w:r>
      <w:r w:rsidR="00FE7F98">
        <w:rPr>
          <w:rFonts w:ascii="Times New Roman" w:hAnsi="Times New Roman" w:cs="Times New Roman"/>
          <w:sz w:val="28"/>
          <w:szCs w:val="28"/>
          <w:lang w:val="uk-UA"/>
        </w:rPr>
        <w:t xml:space="preserve">Рентабельність зберігання груш сорту </w:t>
      </w:r>
      <w:proofErr w:type="spellStart"/>
      <w:r w:rsidR="00FE7F98">
        <w:rPr>
          <w:rFonts w:ascii="Times New Roman" w:hAnsi="Times New Roman" w:cs="Times New Roman"/>
          <w:sz w:val="28"/>
          <w:szCs w:val="28"/>
          <w:lang w:val="uk-UA"/>
        </w:rPr>
        <w:t>Яніс</w:t>
      </w:r>
      <w:proofErr w:type="spellEnd"/>
      <w:r w:rsidR="00FE7F98">
        <w:rPr>
          <w:rFonts w:ascii="Times New Roman" w:hAnsi="Times New Roman" w:cs="Times New Roman"/>
          <w:sz w:val="28"/>
          <w:szCs w:val="28"/>
          <w:lang w:val="uk-UA"/>
        </w:rPr>
        <w:t xml:space="preserve"> масового строку збирання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 xml:space="preserve"> залежно від режиму охолодження і</w:t>
      </w:r>
      <w:r w:rsidR="00FE7F98">
        <w:rPr>
          <w:rFonts w:ascii="Times New Roman" w:hAnsi="Times New Roman" w:cs="Times New Roman"/>
          <w:sz w:val="28"/>
          <w:szCs w:val="28"/>
          <w:lang w:val="uk-UA"/>
        </w:rPr>
        <w:t xml:space="preserve"> післязбиральної обробки інгібітором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 xml:space="preserve"> етилену</w:t>
      </w:r>
      <w:r w:rsidR="00FE7F98">
        <w:rPr>
          <w:rFonts w:ascii="Times New Roman" w:hAnsi="Times New Roman" w:cs="Times New Roman"/>
          <w:sz w:val="28"/>
          <w:szCs w:val="28"/>
          <w:lang w:val="uk-UA"/>
        </w:rPr>
        <w:t xml:space="preserve"> (в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рожай 2013 </w:t>
      </w:r>
      <w:r w:rsidR="003D044E">
        <w:rPr>
          <w:rFonts w:ascii="Times New Roman" w:hAnsi="Times New Roman" w:cs="Times New Roman"/>
          <w:sz w:val="28"/>
          <w:szCs w:val="28"/>
          <w:lang w:val="uk-UA"/>
        </w:rPr>
        <w:t>р.):</w:t>
      </w:r>
    </w:p>
    <w:p w:rsidR="003D044E" w:rsidRDefault="003D044E" w:rsidP="007B49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ЗО – затримка охолодження; НО – негайне охолодження.</w:t>
      </w:r>
    </w:p>
    <w:p w:rsidR="00C013D6" w:rsidRDefault="00C013D6" w:rsidP="009B4DB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59B8" w:rsidRDefault="005C27A3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Рентабельність зберігання необроблених інгібітором етилену й охолоджених із з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>атримкою груш запізнілого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збирання на 4,5 пункти вища, порівняно з негайно охолодженими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 xml:space="preserve"> плодами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B5326A">
        <w:rPr>
          <w:rFonts w:ascii="Times New Roman" w:hAnsi="Times New Roman" w:cs="Times New Roman"/>
          <w:sz w:val="28"/>
          <w:szCs w:val="28"/>
          <w:lang w:val="uk-UA"/>
        </w:rPr>
        <w:t xml:space="preserve">Застосування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ж </w:t>
      </w:r>
      <w:r w:rsidR="00B5326A">
        <w:rPr>
          <w:rFonts w:ascii="Times New Roman" w:hAnsi="Times New Roman" w:cs="Times New Roman"/>
          <w:sz w:val="28"/>
          <w:szCs w:val="28"/>
          <w:lang w:val="uk-UA"/>
        </w:rPr>
        <w:t xml:space="preserve">обробки </w:t>
      </w:r>
      <w:r w:rsidR="00B5326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інгібітором етилену плодів </w:t>
      </w:r>
      <w:r>
        <w:rPr>
          <w:rFonts w:ascii="Times New Roman" w:hAnsi="Times New Roman" w:cs="Times New Roman"/>
          <w:sz w:val="28"/>
          <w:szCs w:val="28"/>
          <w:lang w:val="uk-UA"/>
        </w:rPr>
        <w:t>забезпечує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 xml:space="preserve"> лише на 2,1 пункти вищу рентабельність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21C68">
        <w:rPr>
          <w:rFonts w:ascii="Times New Roman" w:hAnsi="Times New Roman" w:cs="Times New Roman"/>
          <w:sz w:val="28"/>
          <w:szCs w:val="28"/>
          <w:lang w:val="uk-UA"/>
        </w:rPr>
        <w:t xml:space="preserve">для негайно охолоджених плодів 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>(рис.</w:t>
      </w:r>
      <w:r w:rsidR="00262231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8D59B8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E57885" w:rsidRDefault="00E57885" w:rsidP="00FE7F9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noProof/>
          <w:lang w:eastAsia="ru-RU"/>
        </w:rPr>
        <w:drawing>
          <wp:inline distT="0" distB="0" distL="0" distR="0" wp14:anchorId="78A827E7" wp14:editId="660FB6E9">
            <wp:extent cx="6141493" cy="2743200"/>
            <wp:effectExtent l="0" t="0" r="0" b="19050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3D044E" w:rsidRDefault="007B49C3" w:rsidP="007B49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Рисунок</w:t>
      </w:r>
      <w:r w:rsidR="003D044E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="003D044E" w:rsidRPr="00FE7F9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D044E">
        <w:rPr>
          <w:rFonts w:ascii="Times New Roman" w:hAnsi="Times New Roman" w:cs="Times New Roman"/>
          <w:sz w:val="28"/>
          <w:szCs w:val="28"/>
          <w:lang w:val="uk-UA"/>
        </w:rPr>
        <w:t xml:space="preserve">Рентабельність зберігання груш сорту </w:t>
      </w:r>
      <w:proofErr w:type="spellStart"/>
      <w:r w:rsidR="003D044E">
        <w:rPr>
          <w:rFonts w:ascii="Times New Roman" w:hAnsi="Times New Roman" w:cs="Times New Roman"/>
          <w:sz w:val="28"/>
          <w:szCs w:val="28"/>
          <w:lang w:val="uk-UA"/>
        </w:rPr>
        <w:t>Яніс</w:t>
      </w:r>
      <w:proofErr w:type="spellEnd"/>
      <w:r w:rsidR="003D044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>запізнілого збору залежно від режиму охолодження і</w:t>
      </w:r>
      <w:r w:rsidR="003D044E">
        <w:rPr>
          <w:rFonts w:ascii="Times New Roman" w:hAnsi="Times New Roman" w:cs="Times New Roman"/>
          <w:sz w:val="28"/>
          <w:szCs w:val="28"/>
          <w:lang w:val="uk-UA"/>
        </w:rPr>
        <w:t xml:space="preserve"> післязбиральної обробки інгібітором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 xml:space="preserve"> етилену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(врожай 2013 </w:t>
      </w:r>
      <w:r w:rsidR="003D044E">
        <w:rPr>
          <w:rFonts w:ascii="Times New Roman" w:hAnsi="Times New Roman" w:cs="Times New Roman"/>
          <w:sz w:val="28"/>
          <w:szCs w:val="28"/>
          <w:lang w:val="uk-UA"/>
        </w:rPr>
        <w:t>р.):</w:t>
      </w:r>
    </w:p>
    <w:p w:rsidR="008866CC" w:rsidRDefault="003D044E" w:rsidP="007B49C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ЗО – затримка охолодження; НО – негайне охолодження.</w:t>
      </w:r>
    </w:p>
    <w:p w:rsidR="00EC14CB" w:rsidRDefault="00EC14CB" w:rsidP="009B4DB9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577FB" w:rsidRDefault="005577FB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 xml:space="preserve">без обробки інгібітором етилену </w:t>
      </w:r>
      <w:r>
        <w:rPr>
          <w:rFonts w:ascii="Times New Roman" w:hAnsi="Times New Roman" w:cs="Times New Roman"/>
          <w:sz w:val="28"/>
          <w:szCs w:val="28"/>
          <w:lang w:val="uk-UA"/>
        </w:rPr>
        <w:t>раціональна тривалість зберігання груш сорту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04765">
        <w:rPr>
          <w:rFonts w:ascii="Times New Roman" w:hAnsi="Times New Roman" w:cs="Times New Roman"/>
          <w:sz w:val="28"/>
          <w:szCs w:val="28"/>
          <w:lang w:val="uk-UA"/>
        </w:rPr>
        <w:t>Яніс</w:t>
      </w:r>
      <w:proofErr w:type="spellEnd"/>
      <w:r w:rsidR="00C04765">
        <w:rPr>
          <w:rFonts w:ascii="Times New Roman" w:hAnsi="Times New Roman" w:cs="Times New Roman"/>
          <w:sz w:val="28"/>
          <w:szCs w:val="28"/>
          <w:lang w:val="uk-UA"/>
        </w:rPr>
        <w:t xml:space="preserve"> масового </w:t>
      </w:r>
      <w:r>
        <w:rPr>
          <w:rFonts w:ascii="Times New Roman" w:hAnsi="Times New Roman" w:cs="Times New Roman"/>
          <w:sz w:val="28"/>
          <w:szCs w:val="28"/>
          <w:lang w:val="uk-UA"/>
        </w:rPr>
        <w:t>збирання за температури 2±0,5 °С з виходом товарної продукції не менше 90 % не перевищує чотирьох місяців і не менше шести – для обр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>облених інгібітором етилену</w:t>
      </w:r>
      <w:r>
        <w:rPr>
          <w:rFonts w:ascii="Times New Roman" w:hAnsi="Times New Roman" w:cs="Times New Roman"/>
          <w:sz w:val="28"/>
          <w:szCs w:val="28"/>
          <w:lang w:val="uk-UA"/>
        </w:rPr>
        <w:t>,  незалежно від режиму охолодження. Раціональна тривалість збер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>ігання плодів запізнілого збору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складає н</w:t>
      </w:r>
      <w:r w:rsidR="00C04765">
        <w:rPr>
          <w:rFonts w:ascii="Times New Roman" w:hAnsi="Times New Roman" w:cs="Times New Roman"/>
          <w:sz w:val="28"/>
          <w:szCs w:val="28"/>
          <w:lang w:val="uk-UA"/>
        </w:rPr>
        <w:t>е менше шести місяців</w:t>
      </w:r>
      <w:r>
        <w:rPr>
          <w:rFonts w:ascii="Times New Roman" w:hAnsi="Times New Roman" w:cs="Times New Roman"/>
          <w:sz w:val="28"/>
          <w:szCs w:val="28"/>
          <w:lang w:val="uk-UA"/>
        </w:rPr>
        <w:t>, незалежно від стр</w:t>
      </w:r>
      <w:r w:rsidR="00AB1C3C">
        <w:rPr>
          <w:rFonts w:ascii="Times New Roman" w:hAnsi="Times New Roman" w:cs="Times New Roman"/>
          <w:sz w:val="28"/>
          <w:szCs w:val="28"/>
          <w:lang w:val="uk-UA"/>
        </w:rPr>
        <w:t>оку збирання, режиму охолодження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 післязбиральної обробки інгібітором етилену.</w:t>
      </w:r>
    </w:p>
    <w:p w:rsidR="005577FB" w:rsidRDefault="005577FB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Обробка інгібітором етилену охолоджених із затри</w:t>
      </w:r>
      <w:r w:rsidR="00AB1C3C">
        <w:rPr>
          <w:rFonts w:ascii="Times New Roman" w:hAnsi="Times New Roman" w:cs="Times New Roman"/>
          <w:sz w:val="28"/>
          <w:szCs w:val="28"/>
          <w:lang w:val="uk-UA"/>
        </w:rPr>
        <w:t>мкою плодів масового збору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забезпечує на 17 пунктів, а негайно охолоджених – на 10,3 % вищу рентабельність зберігання. Обробка інгібітором ет</w:t>
      </w:r>
      <w:r w:rsidR="00AB1C3C">
        <w:rPr>
          <w:rFonts w:ascii="Times New Roman" w:hAnsi="Times New Roman" w:cs="Times New Roman"/>
          <w:sz w:val="28"/>
          <w:szCs w:val="28"/>
          <w:lang w:val="uk-UA"/>
        </w:rPr>
        <w:t>илену плодів запізнілого збирання незначно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підвищує (на 2,1 пункти) рівень рентабельності лише для негайно охолоджених плодів.</w:t>
      </w:r>
    </w:p>
    <w:p w:rsidR="005577FB" w:rsidRDefault="005577FB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F26F1" w:rsidRDefault="00DF26F1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002B32" w:rsidRPr="0011134E" w:rsidRDefault="00002B32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1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proofErr w:type="spellStart"/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Konopacka</w:t>
      </w:r>
      <w:proofErr w:type="spellEnd"/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., </w:t>
      </w:r>
      <w:proofErr w:type="spellStart"/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Rutkowski</w:t>
      </w:r>
      <w:proofErr w:type="spellEnd"/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K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P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., </w:t>
      </w:r>
      <w:proofErr w:type="spellStart"/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Kruczynska</w:t>
      </w:r>
      <w:proofErr w:type="spellEnd"/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E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., </w:t>
      </w:r>
      <w:proofErr w:type="spellStart"/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Skorupinska</w:t>
      </w:r>
      <w:proofErr w:type="spellEnd"/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A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., </w:t>
      </w:r>
      <w:proofErr w:type="spellStart"/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Plocharski</w:t>
      </w:r>
      <w:proofErr w:type="spellEnd"/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W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Quality potential of some new pear cultivars – how to obtain fruit of the b</w:t>
      </w:r>
      <w:r w:rsidR="00D47D14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est sensory characteristics?</w:t>
      </w:r>
      <w:r w:rsidR="00D47D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gramStart"/>
      <w:r w:rsidRPr="00D47D14">
        <w:rPr>
          <w:rFonts w:ascii="Times New Roman" w:eastAsia="Calibri" w:hAnsi="Times New Roman" w:cs="Times New Roman"/>
          <w:i/>
          <w:color w:val="000000"/>
          <w:sz w:val="28"/>
          <w:szCs w:val="28"/>
          <w:lang w:val="en-US"/>
        </w:rPr>
        <w:t>Journal of Horticultural Research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.</w:t>
      </w:r>
      <w:proofErr w:type="gramEnd"/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 </w:t>
      </w:r>
      <w:r w:rsidRPr="00D47D14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2014. 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Vol</w:t>
      </w:r>
      <w:r w:rsidRPr="00D47D14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22 (2). 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P</w:t>
      </w:r>
      <w:r w:rsidRPr="001113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. 71–84. 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DOI</w:t>
      </w:r>
      <w:r w:rsidRPr="001113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: 10.2478/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johr</w:t>
      </w:r>
      <w:r w:rsidRPr="0011134E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-2014-0024.</w:t>
      </w:r>
    </w:p>
    <w:p w:rsidR="008866CC" w:rsidRPr="00002B32" w:rsidRDefault="00002B32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2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Мельник О.</w:t>
      </w:r>
      <w:r w:rsidRPr="007B49C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="00D47D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В. Клони груші </w:t>
      </w:r>
      <w:proofErr w:type="spellStart"/>
      <w:r w:rsidR="00D47D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Ноябрська</w:t>
      </w:r>
      <w:proofErr w:type="spellEnd"/>
      <w:r w:rsidR="00D47D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D47D14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Новини садівництва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2011. № 2. С. 32–35.</w:t>
      </w:r>
    </w:p>
    <w:p w:rsidR="00002B32" w:rsidRDefault="00002B32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 w:eastAsia="uk-UA"/>
        </w:rPr>
        <w:t>3.</w:t>
      </w:r>
      <w:r w:rsidR="008866CC" w:rsidRPr="008866CC">
        <w:rPr>
          <w:rFonts w:ascii="Times New Roman" w:eastAsia="Calibri" w:hAnsi="Times New Roman" w:cs="Times New Roman"/>
          <w:sz w:val="28"/>
          <w:szCs w:val="28"/>
          <w:lang w:val="uk-UA" w:eastAsia="uk-UA"/>
        </w:rPr>
        <w:t xml:space="preserve"> Мельник О. В., Мельник І. О. Зберігання груш. </w:t>
      </w:r>
      <w:r w:rsidR="008866CC" w:rsidRPr="008866CC">
        <w:rPr>
          <w:rFonts w:ascii="Times New Roman" w:eastAsia="Calibri" w:hAnsi="Times New Roman" w:cs="Times New Roman"/>
          <w:i/>
          <w:sz w:val="28"/>
          <w:szCs w:val="28"/>
          <w:lang w:val="uk-UA" w:eastAsia="uk-UA"/>
        </w:rPr>
        <w:t>Новини садівництва</w:t>
      </w:r>
      <w:r w:rsidR="008866CC" w:rsidRPr="008866CC">
        <w:rPr>
          <w:rFonts w:ascii="Times New Roman" w:eastAsia="Calibri" w:hAnsi="Times New Roman" w:cs="Times New Roman"/>
          <w:sz w:val="28"/>
          <w:szCs w:val="28"/>
          <w:lang w:val="uk-UA" w:eastAsia="uk-UA"/>
        </w:rPr>
        <w:t>. 2010. № 2. С. 33–36.</w:t>
      </w:r>
    </w:p>
    <w:p w:rsidR="00002B32" w:rsidRDefault="00002B32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</w:pP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lastRenderedPageBreak/>
        <w:t>4. Мельник О.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В., Мелехова І.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О.</w:t>
      </w:r>
      <w:r w:rsidR="00D47D14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Особливості зберігання груші.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 xml:space="preserve"> </w:t>
      </w:r>
      <w:r w:rsidRPr="00D47D14">
        <w:rPr>
          <w:rFonts w:ascii="Times New Roman" w:eastAsia="Calibri" w:hAnsi="Times New Roman" w:cs="Times New Roman"/>
          <w:i/>
          <w:color w:val="000000"/>
          <w:sz w:val="28"/>
          <w:szCs w:val="28"/>
          <w:lang w:val="uk-UA"/>
        </w:rPr>
        <w:t>Новини садівництва</w:t>
      </w:r>
      <w:r w:rsidRPr="00002B32">
        <w:rPr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 2011. № 4. С. 34–36.</w:t>
      </w:r>
    </w:p>
    <w:p w:rsidR="00EC14CB" w:rsidRPr="00EC14CB" w:rsidRDefault="00EC14CB" w:rsidP="009B4DB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</w:t>
      </w:r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Zhao J., </w:t>
      </w:r>
      <w:proofErr w:type="spellStart"/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Xie</w:t>
      </w:r>
      <w:proofErr w:type="spellEnd"/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 xml:space="preserve"> X., Dai W., Zhang L. Wang Y., Fang C. Effect of precooling time and 1-MCP treatment on “Bartlett” fruit quality during the cold storage. </w:t>
      </w:r>
      <w:r w:rsidRPr="00EC14C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Scientia</w:t>
      </w:r>
      <w:r w:rsidRPr="002D5C7E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EC14CB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ru-RU"/>
        </w:rPr>
        <w:t>Horticulturae</w:t>
      </w:r>
      <w:proofErr w:type="spellEnd"/>
      <w:r w:rsidRPr="002D5C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2018. </w:t>
      </w:r>
      <w:proofErr w:type="gramStart"/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Vol</w:t>
      </w:r>
      <w:r w:rsidRPr="002D5C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240.</w:t>
      </w:r>
      <w:proofErr w:type="gramEnd"/>
      <w:r w:rsidRPr="002D5C7E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P</w:t>
      </w:r>
      <w:r w:rsidRPr="0095247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387–396. </w:t>
      </w:r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DOI</w:t>
      </w:r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10.1016/</w:t>
      </w:r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j</w:t>
      </w:r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spellStart"/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scienta</w:t>
      </w:r>
      <w:proofErr w:type="spellEnd"/>
      <w:r w:rsidRPr="00EC14CB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.2018.06.049.</w:t>
      </w:r>
    </w:p>
    <w:p w:rsidR="00144123" w:rsidRDefault="00EC14CB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>6</w:t>
      </w:r>
      <w:r w:rsid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Дженеев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С. Ю.,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Иванченко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В. И.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Методические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рекомендации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хранению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плодов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овощей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винограда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организация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проведение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исследований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). Ялта: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Институт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винограда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и вина «</w:t>
      </w:r>
      <w:proofErr w:type="spellStart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Магарач</w:t>
      </w:r>
      <w:proofErr w:type="spellEnd"/>
      <w:r w:rsidR="00144123" w:rsidRPr="00144123">
        <w:rPr>
          <w:rFonts w:ascii="Times New Roman" w:eastAsia="Calibri" w:hAnsi="Times New Roman" w:cs="Times New Roman"/>
          <w:sz w:val="28"/>
          <w:szCs w:val="28"/>
          <w:lang w:val="uk-UA"/>
        </w:rPr>
        <w:t>», 1998. 152 с.</w:t>
      </w:r>
    </w:p>
    <w:p w:rsidR="0011134E" w:rsidRDefault="0011134E" w:rsidP="009B4DB9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11134E" w:rsidRPr="0011134E" w:rsidRDefault="0011134E" w:rsidP="009B4DB9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D5C7E" w:rsidRPr="002D5C7E" w:rsidRDefault="002D5C7E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2D5C7E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Дрозд О.А., Мельник А.В. </w:t>
      </w:r>
      <w:r w:rsidRPr="002D5C7E">
        <w:rPr>
          <w:rFonts w:ascii="Times New Roman" w:hAnsi="Times New Roman" w:cs="Times New Roman"/>
          <w:i/>
          <w:sz w:val="28"/>
          <w:szCs w:val="28"/>
        </w:rPr>
        <w:t xml:space="preserve">Эффективность хранения груш сорта </w:t>
      </w:r>
      <w:proofErr w:type="spellStart"/>
      <w:r w:rsidRPr="002D5C7E">
        <w:rPr>
          <w:rFonts w:ascii="Times New Roman" w:hAnsi="Times New Roman" w:cs="Times New Roman"/>
          <w:i/>
          <w:sz w:val="28"/>
          <w:szCs w:val="28"/>
        </w:rPr>
        <w:t>Янис</w:t>
      </w:r>
      <w:proofErr w:type="spellEnd"/>
      <w:r w:rsidRPr="002D5C7E">
        <w:rPr>
          <w:rFonts w:ascii="Times New Roman" w:hAnsi="Times New Roman" w:cs="Times New Roman"/>
          <w:i/>
          <w:sz w:val="28"/>
          <w:szCs w:val="28"/>
        </w:rPr>
        <w:t xml:space="preserve"> с послеуборочной обработкой ингибитором этилена.</w:t>
      </w:r>
    </w:p>
    <w:p w:rsidR="002D5C7E" w:rsidRDefault="002D5C7E" w:rsidP="009B4DB9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2D5C7E">
        <w:rPr>
          <w:rFonts w:ascii="Times New Roman" w:hAnsi="Times New Roman" w:cs="Times New Roman"/>
          <w:b/>
          <w:i/>
          <w:sz w:val="28"/>
          <w:szCs w:val="28"/>
        </w:rPr>
        <w:t xml:space="preserve">Аннотация. </w:t>
      </w:r>
      <w:r w:rsidR="007543A7">
        <w:rPr>
          <w:rFonts w:ascii="Times New Roman" w:hAnsi="Times New Roman" w:cs="Times New Roman"/>
          <w:i/>
          <w:sz w:val="28"/>
          <w:szCs w:val="28"/>
        </w:rPr>
        <w:t xml:space="preserve">Исследовано влияние срока уборки, режима охлаждения и послеуборочной обработки ингибитором этилена на </w:t>
      </w:r>
      <w:r w:rsidR="009B4DB9">
        <w:rPr>
          <w:rFonts w:ascii="Times New Roman" w:hAnsi="Times New Roman" w:cs="Times New Roman"/>
          <w:i/>
          <w:sz w:val="28"/>
          <w:szCs w:val="28"/>
        </w:rPr>
        <w:t>товарное качество</w:t>
      </w:r>
      <w:r w:rsidR="007543A7">
        <w:rPr>
          <w:rFonts w:ascii="Times New Roman" w:hAnsi="Times New Roman" w:cs="Times New Roman"/>
          <w:i/>
          <w:sz w:val="28"/>
          <w:szCs w:val="28"/>
        </w:rPr>
        <w:t xml:space="preserve"> и экономические показатели хранения груш сорт </w:t>
      </w:r>
      <w:proofErr w:type="spellStart"/>
      <w:r w:rsidR="007543A7">
        <w:rPr>
          <w:rFonts w:ascii="Times New Roman" w:hAnsi="Times New Roman" w:cs="Times New Roman"/>
          <w:i/>
          <w:sz w:val="28"/>
          <w:szCs w:val="28"/>
        </w:rPr>
        <w:t>Янис</w:t>
      </w:r>
      <w:proofErr w:type="spellEnd"/>
      <w:r w:rsidR="007543A7">
        <w:rPr>
          <w:rFonts w:ascii="Times New Roman" w:hAnsi="Times New Roman" w:cs="Times New Roman"/>
          <w:i/>
          <w:sz w:val="28"/>
          <w:szCs w:val="28"/>
        </w:rPr>
        <w:t xml:space="preserve"> во время шестимесячного хранения. Установлено, что рентабельность хранения обработанных ингибитором этилена и охлажденных с задержкой плодов массового сбора на 17 пунктов выше, а сразу охлажденных – выше на 10,3 пункта.</w:t>
      </w:r>
      <w:r w:rsidR="009B4DB9">
        <w:rPr>
          <w:rFonts w:ascii="Times New Roman" w:hAnsi="Times New Roman" w:cs="Times New Roman"/>
          <w:i/>
          <w:sz w:val="28"/>
          <w:szCs w:val="28"/>
        </w:rPr>
        <w:t xml:space="preserve"> При обработке запоздало собранной продукции рентабельность выше у сразу охлажденных плодов.</w:t>
      </w:r>
    </w:p>
    <w:p w:rsidR="009B4DB9" w:rsidRPr="007B49C3" w:rsidRDefault="009B4DB9" w:rsidP="007B49C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Drozd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O.O.,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Melnyk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O.V. Storage efficiency of pears cv.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en-US"/>
        </w:rPr>
        <w:t>Yanis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with post-harvest treatment of ethylene inhibitor</w:t>
      </w:r>
      <w:r w:rsidR="007B49C3">
        <w:rPr>
          <w:rFonts w:ascii="Times New Roman" w:hAnsi="Times New Roman" w:cs="Times New Roman"/>
          <w:i/>
          <w:sz w:val="28"/>
          <w:szCs w:val="28"/>
          <w:lang w:val="en-US"/>
        </w:rPr>
        <w:t>.</w:t>
      </w:r>
    </w:p>
    <w:p w:rsidR="008866CC" w:rsidRPr="007B49C3" w:rsidRDefault="002D5C7E" w:rsidP="007B49C3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B49C3">
        <w:rPr>
          <w:rFonts w:ascii="Times New Roman" w:hAnsi="Times New Roman" w:cs="Times New Roman"/>
          <w:b/>
          <w:i/>
          <w:sz w:val="28"/>
          <w:szCs w:val="28"/>
          <w:lang w:val="en-US"/>
        </w:rPr>
        <w:t>Abstract</w:t>
      </w:r>
      <w:r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</w:t>
      </w:r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influence of harvest time, cooling mode and post-harvest treatment with ethylene inhibitor on the change of marketability and economic indicators of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>Yanis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pears during six-month storage was studied.</w:t>
      </w:r>
      <w:r w:rsidRPr="007B49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It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has been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found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out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that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storage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profitability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fruits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with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mass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harvest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treated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with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ethylene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inhibitor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chilled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with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a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delay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,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was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by </w:t>
      </w:r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17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points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higher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and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rate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of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immediately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chilled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ones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was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higher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7B49C3">
        <w:rPr>
          <w:rFonts w:ascii="Times New Roman" w:hAnsi="Times New Roman" w:cs="Times New Roman"/>
          <w:i/>
          <w:sz w:val="28"/>
          <w:szCs w:val="28"/>
          <w:lang w:val="uk-UA"/>
        </w:rPr>
        <w:t>by</w:t>
      </w:r>
      <w:proofErr w:type="spellEnd"/>
      <w:r w:rsidR="007B49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10.3</w:t>
      </w:r>
      <w:r w:rsid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points</w:t>
      </w:r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 w:rsidRPr="007B49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For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late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harvest</w:t>
      </w:r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>ed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pears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the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profitability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was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higher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only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for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immediately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chilled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proofErr w:type="spellStart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fruits</w:t>
      </w:r>
      <w:proofErr w:type="spellEnd"/>
      <w:r w:rsidR="0011134E" w:rsidRPr="007B49C3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sectPr w:rsidR="008866CC" w:rsidRPr="007B49C3" w:rsidSect="006D386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2CD4"/>
    <w:rsid w:val="00002B32"/>
    <w:rsid w:val="00032AB4"/>
    <w:rsid w:val="0011134E"/>
    <w:rsid w:val="00144123"/>
    <w:rsid w:val="00255C7F"/>
    <w:rsid w:val="00262231"/>
    <w:rsid w:val="00281888"/>
    <w:rsid w:val="002D5C7E"/>
    <w:rsid w:val="00310441"/>
    <w:rsid w:val="00321C68"/>
    <w:rsid w:val="00362CD4"/>
    <w:rsid w:val="00374508"/>
    <w:rsid w:val="00386853"/>
    <w:rsid w:val="003B4E67"/>
    <w:rsid w:val="003D044E"/>
    <w:rsid w:val="003E2785"/>
    <w:rsid w:val="003E4B2D"/>
    <w:rsid w:val="003F22DF"/>
    <w:rsid w:val="004C2EA2"/>
    <w:rsid w:val="004C31B3"/>
    <w:rsid w:val="004F48D6"/>
    <w:rsid w:val="005036A2"/>
    <w:rsid w:val="00540F6E"/>
    <w:rsid w:val="00554C4D"/>
    <w:rsid w:val="00556733"/>
    <w:rsid w:val="005577FB"/>
    <w:rsid w:val="00594593"/>
    <w:rsid w:val="005C27A3"/>
    <w:rsid w:val="006037CC"/>
    <w:rsid w:val="00607618"/>
    <w:rsid w:val="006D3868"/>
    <w:rsid w:val="00722978"/>
    <w:rsid w:val="007543A7"/>
    <w:rsid w:val="007B49C3"/>
    <w:rsid w:val="007F7FE9"/>
    <w:rsid w:val="008023C3"/>
    <w:rsid w:val="0080600C"/>
    <w:rsid w:val="00817D56"/>
    <w:rsid w:val="00885731"/>
    <w:rsid w:val="008866CC"/>
    <w:rsid w:val="008D59B8"/>
    <w:rsid w:val="008F4BE6"/>
    <w:rsid w:val="00952478"/>
    <w:rsid w:val="009B4DB9"/>
    <w:rsid w:val="009C2739"/>
    <w:rsid w:val="00A07691"/>
    <w:rsid w:val="00AA32AA"/>
    <w:rsid w:val="00AB1C3C"/>
    <w:rsid w:val="00AF5C34"/>
    <w:rsid w:val="00B14DDC"/>
    <w:rsid w:val="00B5326A"/>
    <w:rsid w:val="00C013D6"/>
    <w:rsid w:val="00C04765"/>
    <w:rsid w:val="00C71BF9"/>
    <w:rsid w:val="00C7630D"/>
    <w:rsid w:val="00C7637B"/>
    <w:rsid w:val="00D146DB"/>
    <w:rsid w:val="00D26B4E"/>
    <w:rsid w:val="00D47D14"/>
    <w:rsid w:val="00D72D54"/>
    <w:rsid w:val="00DF26F1"/>
    <w:rsid w:val="00E16A09"/>
    <w:rsid w:val="00E57885"/>
    <w:rsid w:val="00E708E9"/>
    <w:rsid w:val="00EA73A3"/>
    <w:rsid w:val="00EC14CB"/>
    <w:rsid w:val="00F42FC7"/>
    <w:rsid w:val="00FD7E3A"/>
    <w:rsid w:val="00FE7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6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036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59"/>
    <w:rsid w:val="005036A2"/>
    <w:pPr>
      <w:spacing w:after="0" w:line="240" w:lineRule="auto"/>
    </w:pPr>
    <w:rPr>
      <w:rFonts w:eastAsia="Times New Roman"/>
      <w:lang w:val="uk-UA" w:eastAsia="uk-U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036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036A2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E5788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6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036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next w:val="a3"/>
    <w:uiPriority w:val="59"/>
    <w:rsid w:val="005036A2"/>
    <w:pPr>
      <w:spacing w:after="0" w:line="240" w:lineRule="auto"/>
    </w:pPr>
    <w:rPr>
      <w:rFonts w:eastAsia="Times New Roman"/>
      <w:lang w:val="uk-UA" w:eastAsia="uk-UA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5036A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036A2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semiHidden/>
    <w:unhideWhenUsed/>
    <w:rsid w:val="00E57885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9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chart" Target="charts/chart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chart" Target="charts/chart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1.xml"/><Relationship Id="rId2" Type="http://schemas.openxmlformats.org/officeDocument/2006/relationships/package" Target="../embeddings/Microsoft_Excel_Worksheet1.xlsx"/><Relationship Id="rId1" Type="http://schemas.openxmlformats.org/officeDocument/2006/relationships/themeOverride" Target="../theme/themeOverrid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chartUserShapes" Target="../drawings/drawing2.xml"/><Relationship Id="rId2" Type="http://schemas.openxmlformats.org/officeDocument/2006/relationships/package" Target="../embeddings/Microsoft_Excel_Worksheet2.xlsx"/><Relationship Id="rId1" Type="http://schemas.openxmlformats.org/officeDocument/2006/relationships/themeOverride" Target="../theme/themeOverrid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depthPercent val="100"/>
      <c:rAngAx val="1"/>
    </c:view3D>
    <c:floor>
      <c:thickness val="0"/>
    </c:floor>
    <c:sideWall>
      <c:thickness val="0"/>
    </c:sideWall>
    <c:backWall>
      <c:thickness val="0"/>
      <c:spPr>
        <a:ln>
          <a:solidFill>
            <a:schemeClr val="tx1"/>
          </a:solidFill>
        </a:ln>
      </c:spPr>
    </c:backWall>
    <c:plotArea>
      <c:layout>
        <c:manualLayout>
          <c:layoutTarget val="inner"/>
          <c:xMode val="edge"/>
          <c:yMode val="edge"/>
          <c:x val="9.700466998416335E-2"/>
          <c:y val="5.9039442986293378E-2"/>
          <c:w val="0.9027621625715857"/>
          <c:h val="0.73267365401398044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Лист1!$Y$11</c:f>
              <c:strCache>
                <c:ptCount val="1"/>
                <c:pt idx="0">
                  <c:v>ЗО без 1-МЦП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2"/>
              <c:layout>
                <c:manualLayout>
                  <c:x val="-9.7750157729524826E-5"/>
                  <c:y val="-7.8176465424221117E-3"/>
                </c:manualLayout>
              </c:layout>
              <c:tx>
                <c:rich>
                  <a:bodyPr/>
                  <a:lstStyle/>
                  <a:p>
                    <a:pPr>
                      <a:defRPr sz="1400">
                        <a:latin typeface="Times New Roman" panose="02020603050405020304" pitchFamily="18" charset="0"/>
                        <a:cs typeface="Times New Roman" panose="02020603050405020304" pitchFamily="18" charset="0"/>
                      </a:defRPr>
                    </a:pPr>
                    <a:r>
                      <a:rPr lang="uk-UA"/>
                      <a:t>43,0</a:t>
                    </a:r>
                    <a:endParaRPr lang="en-US"/>
                  </a:p>
                </c:rich>
              </c:tx>
              <c:spPr/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Лист1!$Z$10:$AB$10</c:f>
              <c:numCache>
                <c:formatCode>General</c:formatCode>
                <c:ptCount val="3"/>
                <c:pt idx="0">
                  <c:v>2</c:v>
                </c:pt>
                <c:pt idx="1">
                  <c:v>4</c:v>
                </c:pt>
                <c:pt idx="2">
                  <c:v>6</c:v>
                </c:pt>
              </c:numCache>
            </c:numRef>
          </c:cat>
          <c:val>
            <c:numRef>
              <c:f>Лист1!$Z$11:$AB$11</c:f>
              <c:numCache>
                <c:formatCode>General</c:formatCode>
                <c:ptCount val="3"/>
                <c:pt idx="0">
                  <c:v>18</c:v>
                </c:pt>
                <c:pt idx="1">
                  <c:v>36.299999999999997</c:v>
                </c:pt>
                <c:pt idx="2">
                  <c:v>43</c:v>
                </c:pt>
              </c:numCache>
            </c:numRef>
          </c:val>
        </c:ser>
        <c:ser>
          <c:idx val="1"/>
          <c:order val="1"/>
          <c:tx>
            <c:strRef>
              <c:f>Лист1!$Y$12</c:f>
              <c:strCache>
                <c:ptCount val="1"/>
                <c:pt idx="0">
                  <c:v>ЗО + 1-МЦП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2"/>
              <c:layout>
                <c:manualLayout>
                  <c:x val="-1.0097121184906986E-2"/>
                  <c:y val="-2.218727588501118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60</a:t>
                    </a:r>
                    <a:r>
                      <a:rPr lang="uk-UA"/>
                      <a:t>,0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14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Лист1!$Z$10:$AB$10</c:f>
              <c:numCache>
                <c:formatCode>General</c:formatCode>
                <c:ptCount val="3"/>
                <c:pt idx="0">
                  <c:v>2</c:v>
                </c:pt>
                <c:pt idx="1">
                  <c:v>4</c:v>
                </c:pt>
                <c:pt idx="2">
                  <c:v>6</c:v>
                </c:pt>
              </c:numCache>
            </c:numRef>
          </c:cat>
          <c:val>
            <c:numRef>
              <c:f>Лист1!$Z$12:$AB$12</c:f>
              <c:numCache>
                <c:formatCode>General</c:formatCode>
                <c:ptCount val="3"/>
                <c:pt idx="0">
                  <c:v>17.8</c:v>
                </c:pt>
                <c:pt idx="1">
                  <c:v>43.1</c:v>
                </c:pt>
                <c:pt idx="2">
                  <c:v>60</c:v>
                </c:pt>
              </c:numCache>
            </c:numRef>
          </c:val>
        </c:ser>
        <c:ser>
          <c:idx val="2"/>
          <c:order val="2"/>
          <c:tx>
            <c:strRef>
              <c:f>Лист1!$Y$13</c:f>
              <c:strCache>
                <c:ptCount val="1"/>
                <c:pt idx="0">
                  <c:v>НО без 1-МЦП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2"/>
              <c:layout>
                <c:manualLayout>
                  <c:x val="6.8399173387057553E-3"/>
                  <c:y val="-8.1474428209758656E-2"/>
                </c:manualLayout>
              </c:layout>
              <c:tx>
                <c:rich>
                  <a:bodyPr/>
                  <a:lstStyle/>
                  <a:p>
                    <a:pPr>
                      <a:defRPr sz="1400">
                        <a:latin typeface="Times New Roman" panose="02020603050405020304" pitchFamily="18" charset="0"/>
                        <a:cs typeface="Times New Roman" panose="02020603050405020304" pitchFamily="18" charset="0"/>
                      </a:defRPr>
                    </a:pPr>
                    <a:r>
                      <a:rPr lang="en-US"/>
                      <a:t>58</a:t>
                    </a:r>
                    <a:r>
                      <a:rPr lang="uk-UA"/>
                      <a:t>,0</a:t>
                    </a:r>
                    <a:endParaRPr lang="en-US"/>
                  </a:p>
                </c:rich>
              </c:tx>
              <c:spPr>
                <a:noFill/>
              </c:spPr>
              <c:showLegendKey val="0"/>
              <c:showVal val="1"/>
              <c:showCatName val="0"/>
              <c:showSerName val="0"/>
              <c:showPercent val="0"/>
              <c:showBubbleSize val="0"/>
            </c:dLbl>
            <c:spPr>
              <a:noFill/>
            </c:spPr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Лист1!$Z$10:$AB$10</c:f>
              <c:numCache>
                <c:formatCode>General</c:formatCode>
                <c:ptCount val="3"/>
                <c:pt idx="0">
                  <c:v>2</c:v>
                </c:pt>
                <c:pt idx="1">
                  <c:v>4</c:v>
                </c:pt>
                <c:pt idx="2">
                  <c:v>6</c:v>
                </c:pt>
              </c:numCache>
            </c:numRef>
          </c:cat>
          <c:val>
            <c:numRef>
              <c:f>Лист1!$Z$13:$AB$13</c:f>
              <c:numCache>
                <c:formatCode>General</c:formatCode>
                <c:ptCount val="3"/>
                <c:pt idx="0">
                  <c:v>19.5</c:v>
                </c:pt>
                <c:pt idx="1">
                  <c:v>47.1</c:v>
                </c:pt>
                <c:pt idx="2">
                  <c:v>58</c:v>
                </c:pt>
              </c:numCache>
            </c:numRef>
          </c:val>
        </c:ser>
        <c:ser>
          <c:idx val="3"/>
          <c:order val="3"/>
          <c:tx>
            <c:strRef>
              <c:f>Лист1!$Y$14</c:f>
              <c:strCache>
                <c:ptCount val="1"/>
                <c:pt idx="0">
                  <c:v>НО + 1-МЦП</c:v>
                </c:pt>
              </c:strCache>
            </c:strRef>
          </c:tx>
          <c:spPr>
            <a:solidFill>
              <a:schemeClr val="tx1"/>
            </a:solidFill>
          </c:spPr>
          <c:invertIfNegative val="0"/>
          <c:dLbls>
            <c:dLbl>
              <c:idx val="2"/>
              <c:layout>
                <c:manualLayout>
                  <c:x val="3.8755911209787074E-2"/>
                  <c:y val="-2.030327726637095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sz="1400">
                    <a:latin typeface="Times New Roman" panose="02020603050405020304" pitchFamily="18" charset="0"/>
                    <a:cs typeface="Times New Roman" panose="02020603050405020304" pitchFamily="18" charset="0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Лист1!$Z$10:$AB$10</c:f>
              <c:numCache>
                <c:formatCode>General</c:formatCode>
                <c:ptCount val="3"/>
                <c:pt idx="0">
                  <c:v>2</c:v>
                </c:pt>
                <c:pt idx="1">
                  <c:v>4</c:v>
                </c:pt>
                <c:pt idx="2">
                  <c:v>6</c:v>
                </c:pt>
              </c:numCache>
            </c:numRef>
          </c:cat>
          <c:val>
            <c:numRef>
              <c:f>Лист1!$Z$14:$AB$14</c:f>
              <c:numCache>
                <c:formatCode>General</c:formatCode>
                <c:ptCount val="3"/>
                <c:pt idx="0">
                  <c:v>18.2</c:v>
                </c:pt>
                <c:pt idx="1">
                  <c:v>43</c:v>
                </c:pt>
                <c:pt idx="2">
                  <c:v>68.3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59761792"/>
        <c:axId val="59763328"/>
        <c:axId val="0"/>
      </c:bar3DChart>
      <c:catAx>
        <c:axId val="5976179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4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59763328"/>
        <c:crosses val="autoZero"/>
        <c:auto val="1"/>
        <c:lblAlgn val="ctr"/>
        <c:lblOffset val="100"/>
        <c:noMultiLvlLbl val="0"/>
      </c:catAx>
      <c:valAx>
        <c:axId val="59763328"/>
        <c:scaling>
          <c:orientation val="minMax"/>
          <c:max val="80"/>
          <c:min val="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General" sourceLinked="1"/>
        <c:majorTickMark val="out"/>
        <c:minorTickMark val="none"/>
        <c:tickLblPos val="nextTo"/>
        <c:spPr>
          <a:ln>
            <a:solidFill>
              <a:schemeClr val="bg1">
                <a:lumMod val="85000"/>
              </a:schemeClr>
            </a:solidFill>
          </a:ln>
        </c:spPr>
        <c:txPr>
          <a:bodyPr/>
          <a:lstStyle/>
          <a:p>
            <a:pPr>
              <a:defRPr sz="1400"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ru-RU"/>
          </a:p>
        </c:txPr>
        <c:crossAx val="59761792"/>
        <c:crosses val="autoZero"/>
        <c:crossBetween val="between"/>
        <c:majorUnit val="20"/>
      </c:valAx>
    </c:plotArea>
    <c:legend>
      <c:legendPos val="r"/>
      <c:layout>
        <c:manualLayout>
          <c:xMode val="edge"/>
          <c:yMode val="edge"/>
          <c:x val="0.16517863800798471"/>
          <c:y val="9.3836975382466992E-2"/>
          <c:w val="0.52653860045117451"/>
          <c:h val="0.15431321084864391"/>
        </c:manualLayout>
      </c:layout>
      <c:overlay val="0"/>
      <c:txPr>
        <a:bodyPr/>
        <a:lstStyle/>
        <a:p>
          <a:pPr>
            <a:defRPr sz="1400">
              <a:latin typeface="Times New Roman" panose="02020603050405020304" pitchFamily="18" charset="0"/>
              <a:cs typeface="Times New Roman" panose="02020603050405020304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externalData r:id="rId2">
    <c:autoUpdate val="0"/>
  </c:externalData>
  <c:userShapes r:id="rId3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depthPercent val="100"/>
      <c:rAngAx val="1"/>
    </c:view3D>
    <c:floor>
      <c:thickness val="0"/>
      <c:spPr>
        <a:ln>
          <a:solidFill>
            <a:sysClr val="windowText" lastClr="000000"/>
          </a:solidFill>
        </a:ln>
      </c:spPr>
    </c:floor>
    <c:sideWall>
      <c:thickness val="0"/>
      <c:spPr>
        <a:ln>
          <a:solidFill>
            <a:schemeClr val="tx1"/>
          </a:solidFill>
        </a:ln>
      </c:spPr>
    </c:sideWall>
    <c:backWall>
      <c:thickness val="0"/>
      <c:spPr>
        <a:ln>
          <a:solidFill>
            <a:schemeClr val="tx1"/>
          </a:solidFill>
        </a:ln>
      </c:spPr>
    </c:backWall>
    <c:plotArea>
      <c:layout>
        <c:manualLayout>
          <c:layoutTarget val="inner"/>
          <c:xMode val="edge"/>
          <c:yMode val="edge"/>
          <c:x val="0.10864252815259844"/>
          <c:y val="4.052092446777486E-2"/>
          <c:w val="0.87947732363255027"/>
          <c:h val="0.81447105570137068"/>
        </c:manualLayout>
      </c:layout>
      <c:bar3DChart>
        <c:barDir val="col"/>
        <c:grouping val="clustered"/>
        <c:varyColors val="0"/>
        <c:ser>
          <c:idx val="0"/>
          <c:order val="0"/>
          <c:tx>
            <c:strRef>
              <c:f>Лист1!$Y$15</c:f>
              <c:strCache>
                <c:ptCount val="1"/>
                <c:pt idx="0">
                  <c:v>ЗО без 1-МЦП</c:v>
                </c:pt>
              </c:strCache>
            </c:strRef>
          </c:tx>
          <c:spPr>
            <a:solidFill>
              <a:schemeClr val="bg1">
                <a:lumMod val="95000"/>
              </a:schemeClr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2"/>
              <c:layout>
                <c:manualLayout>
                  <c:x val="-1.0339505393883865E-2"/>
                  <c:y val="-1.388888888888888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Лист1!$Z$10:$AB$10</c:f>
              <c:numCache>
                <c:formatCode>General</c:formatCode>
                <c:ptCount val="3"/>
                <c:pt idx="0">
                  <c:v>2</c:v>
                </c:pt>
                <c:pt idx="1">
                  <c:v>4</c:v>
                </c:pt>
                <c:pt idx="2">
                  <c:v>6</c:v>
                </c:pt>
              </c:numCache>
            </c:numRef>
          </c:cat>
          <c:val>
            <c:numRef>
              <c:f>Лист1!$Z$15:$AB$15</c:f>
              <c:numCache>
                <c:formatCode>General</c:formatCode>
                <c:ptCount val="3"/>
                <c:pt idx="0">
                  <c:v>19.3</c:v>
                </c:pt>
                <c:pt idx="1">
                  <c:v>39.799999999999997</c:v>
                </c:pt>
                <c:pt idx="2">
                  <c:v>69.400000000000006</c:v>
                </c:pt>
              </c:numCache>
            </c:numRef>
          </c:val>
        </c:ser>
        <c:ser>
          <c:idx val="1"/>
          <c:order val="1"/>
          <c:tx>
            <c:strRef>
              <c:f>Лист1!$Y$16</c:f>
              <c:strCache>
                <c:ptCount val="1"/>
                <c:pt idx="0">
                  <c:v>ЗО + 1-МЦП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2"/>
              <c:layout>
                <c:manualLayout>
                  <c:x val="8.2716043151070916E-3"/>
                  <c:y val="-3.240740740740740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Лист1!$Z$10:$AB$10</c:f>
              <c:numCache>
                <c:formatCode>General</c:formatCode>
                <c:ptCount val="3"/>
                <c:pt idx="0">
                  <c:v>2</c:v>
                </c:pt>
                <c:pt idx="1">
                  <c:v>4</c:v>
                </c:pt>
                <c:pt idx="2">
                  <c:v>6</c:v>
                </c:pt>
              </c:numCache>
            </c:numRef>
          </c:cat>
          <c:val>
            <c:numRef>
              <c:f>Лист1!$Z$16:$AB$16</c:f>
              <c:numCache>
                <c:formatCode>General</c:formatCode>
                <c:ptCount val="3"/>
                <c:pt idx="0">
                  <c:v>17.7</c:v>
                </c:pt>
                <c:pt idx="1">
                  <c:v>41.8</c:v>
                </c:pt>
                <c:pt idx="2">
                  <c:v>66.7</c:v>
                </c:pt>
              </c:numCache>
            </c:numRef>
          </c:val>
        </c:ser>
        <c:ser>
          <c:idx val="2"/>
          <c:order val="2"/>
          <c:tx>
            <c:strRef>
              <c:f>Лист1!$Y$17</c:f>
              <c:strCache>
                <c:ptCount val="1"/>
                <c:pt idx="0">
                  <c:v>НО без 1-МЦП</c:v>
                </c:pt>
              </c:strCache>
            </c:strRef>
          </c:tx>
          <c:spPr>
            <a:solidFill>
              <a:schemeClr val="bg1">
                <a:lumMod val="50000"/>
              </a:schemeClr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2"/>
              <c:layout>
                <c:manualLayout>
                  <c:x val="6.2037032363303187E-3"/>
                  <c:y val="-1.851851851851851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Лист1!$Z$10:$AB$10</c:f>
              <c:numCache>
                <c:formatCode>General</c:formatCode>
                <c:ptCount val="3"/>
                <c:pt idx="0">
                  <c:v>2</c:v>
                </c:pt>
                <c:pt idx="1">
                  <c:v>4</c:v>
                </c:pt>
                <c:pt idx="2">
                  <c:v>6</c:v>
                </c:pt>
              </c:numCache>
            </c:numRef>
          </c:cat>
          <c:val>
            <c:numRef>
              <c:f>Лист1!$Z$17:$AB$17</c:f>
              <c:numCache>
                <c:formatCode>General</c:formatCode>
                <c:ptCount val="3"/>
                <c:pt idx="0">
                  <c:v>19.399999999999999</c:v>
                </c:pt>
                <c:pt idx="1">
                  <c:v>39.6</c:v>
                </c:pt>
                <c:pt idx="2">
                  <c:v>64.900000000000006</c:v>
                </c:pt>
              </c:numCache>
            </c:numRef>
          </c:val>
        </c:ser>
        <c:ser>
          <c:idx val="3"/>
          <c:order val="3"/>
          <c:tx>
            <c:strRef>
              <c:f>Лист1!$Y$18</c:f>
              <c:strCache>
                <c:ptCount val="1"/>
                <c:pt idx="0">
                  <c:v>НО + 1-МЦП</c:v>
                </c:pt>
              </c:strCache>
            </c:strRef>
          </c:tx>
          <c:spPr>
            <a:solidFill>
              <a:schemeClr val="tx1"/>
            </a:solidFill>
            <a:ln>
              <a:solidFill>
                <a:schemeClr val="tx1"/>
              </a:solidFill>
            </a:ln>
          </c:spPr>
          <c:invertIfNegative val="0"/>
          <c:dLbls>
            <c:dLbl>
              <c:idx val="2"/>
              <c:layout>
                <c:manualLayout>
                  <c:x val="2.8950615102874822E-2"/>
                  <c:y val="-2.7777777777777776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67</a:t>
                    </a:r>
                    <a:r>
                      <a:rPr lang="uk-UA"/>
                      <a:t>,0</a:t>
                    </a:r>
                    <a:endParaRPr lang="en-US"/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</c:dLbl>
            <c:showLegendKey val="0"/>
            <c:showVal val="0"/>
            <c:showCatName val="0"/>
            <c:showSerName val="0"/>
            <c:showPercent val="0"/>
            <c:showBubbleSize val="0"/>
          </c:dLbls>
          <c:cat>
            <c:numRef>
              <c:f>Лист1!$Z$10:$AB$10</c:f>
              <c:numCache>
                <c:formatCode>General</c:formatCode>
                <c:ptCount val="3"/>
                <c:pt idx="0">
                  <c:v>2</c:v>
                </c:pt>
                <c:pt idx="1">
                  <c:v>4</c:v>
                </c:pt>
                <c:pt idx="2">
                  <c:v>6</c:v>
                </c:pt>
              </c:numCache>
            </c:numRef>
          </c:cat>
          <c:val>
            <c:numRef>
              <c:f>Лист1!$Z$18:$AB$18</c:f>
              <c:numCache>
                <c:formatCode>General</c:formatCode>
                <c:ptCount val="3"/>
                <c:pt idx="0">
                  <c:v>17.899999999999999</c:v>
                </c:pt>
                <c:pt idx="1">
                  <c:v>42.4</c:v>
                </c:pt>
                <c:pt idx="2">
                  <c:v>67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58093312"/>
        <c:axId val="158094848"/>
        <c:axId val="0"/>
      </c:bar3DChart>
      <c:catAx>
        <c:axId val="15809331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158094848"/>
        <c:crosses val="autoZero"/>
        <c:auto val="1"/>
        <c:lblAlgn val="ctr"/>
        <c:lblOffset val="100"/>
        <c:noMultiLvlLbl val="0"/>
      </c:catAx>
      <c:valAx>
        <c:axId val="158094848"/>
        <c:scaling>
          <c:orientation val="minMax"/>
          <c:max val="80"/>
          <c:min val="0"/>
        </c:scaling>
        <c:delete val="0"/>
        <c:axPos val="l"/>
        <c:majorGridlines>
          <c:spPr>
            <a:ln>
              <a:solidFill>
                <a:schemeClr val="bg1">
                  <a:lumMod val="85000"/>
                </a:schemeClr>
              </a:solidFill>
            </a:ln>
          </c:spPr>
        </c:majorGridlines>
        <c:numFmt formatCode="General" sourceLinked="1"/>
        <c:majorTickMark val="out"/>
        <c:minorTickMark val="none"/>
        <c:tickLblPos val="nextTo"/>
        <c:crossAx val="158093312"/>
        <c:crosses val="autoZero"/>
        <c:crossBetween val="between"/>
        <c:majorUnit val="20"/>
      </c:valAx>
    </c:plotArea>
    <c:legend>
      <c:legendPos val="r"/>
      <c:layout>
        <c:manualLayout>
          <c:xMode val="edge"/>
          <c:yMode val="edge"/>
          <c:x val="0.18384471007294154"/>
          <c:y val="5.0158209390492862E-2"/>
          <c:w val="0.4779801914615876"/>
          <c:h val="0.1959798775153106"/>
        </c:manualLayout>
      </c:layout>
      <c:overlay val="0"/>
      <c:txPr>
        <a:bodyPr/>
        <a:lstStyle/>
        <a:p>
          <a:pPr>
            <a:defRPr sz="1400"/>
          </a:pPr>
          <a:endParaRPr lang="ru-RU"/>
        </a:p>
      </c:txPr>
    </c:legend>
    <c:plotVisOnly val="1"/>
    <c:dispBlanksAs val="gap"/>
    <c:showDLblsOverMax val="0"/>
  </c:chart>
  <c:spPr>
    <a:ln>
      <a:noFill/>
    </a:ln>
  </c:spPr>
  <c:txPr>
    <a:bodyPr/>
    <a:lstStyle/>
    <a:p>
      <a:pPr>
        <a:defRPr sz="1200">
          <a:latin typeface="Times New Roman" panose="02020603050405020304" pitchFamily="18" charset="0"/>
          <a:cs typeface="Times New Roman" panose="02020603050405020304" pitchFamily="18" charset="0"/>
        </a:defRPr>
      </a:pPr>
      <a:endParaRPr lang="ru-RU"/>
    </a:p>
  </c:txPr>
  <c:externalData r:id="rId2">
    <c:autoUpdate val="0"/>
  </c:externalData>
  <c:userShapes r:id="rId3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0.31646</cdr:x>
      <cdr:y>0.91046</cdr:y>
    </cdr:from>
    <cdr:to>
      <cdr:x>0.74539</cdr:x>
      <cdr:y>1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1952065" y="2634281"/>
          <a:ext cx="2645807" cy="259044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Тривалість зберігання, місяць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cdr:txBody>
    </cdr:sp>
  </cdr:relSizeAnchor>
  <cdr:relSizeAnchor xmlns:cdr="http://schemas.openxmlformats.org/drawingml/2006/chartDrawing">
    <cdr:from>
      <cdr:x>0</cdr:x>
      <cdr:y>0.18398</cdr:y>
    </cdr:from>
    <cdr:to>
      <cdr:x>0.05964</cdr:x>
      <cdr:y>0.74535</cdr:y>
    </cdr:to>
    <cdr:sp macro="" textlink="">
      <cdr:nvSpPr>
        <cdr:cNvPr id="3" name="Поле 2"/>
        <cdr:cNvSpPr txBox="1"/>
      </cdr:nvSpPr>
      <cdr:spPr>
        <a:xfrm xmlns:a="http://schemas.openxmlformats.org/drawingml/2006/main">
          <a:off x="0" y="532262"/>
          <a:ext cx="354842" cy="1624083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vert="vert270" wrap="square" rtlCol="0"/>
        <a:lstStyle xmlns:a="http://schemas.openxmlformats.org/drawingml/2006/main"/>
        <a:p xmlns:a="http://schemas.openxmlformats.org/drawingml/2006/main"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Рентабельність, %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</cdr:x>
      <cdr:y>0.0995</cdr:y>
    </cdr:from>
    <cdr:to>
      <cdr:x>0.0584</cdr:x>
      <cdr:y>0.70011</cdr:y>
    </cdr:to>
    <cdr:sp macro="" textlink="">
      <cdr:nvSpPr>
        <cdr:cNvPr id="2" name="Поле 1"/>
        <cdr:cNvSpPr txBox="1"/>
      </cdr:nvSpPr>
      <cdr:spPr>
        <a:xfrm xmlns:a="http://schemas.openxmlformats.org/drawingml/2006/main">
          <a:off x="0" y="272955"/>
          <a:ext cx="358633" cy="1647587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="vert270" wrap="square" rtlCol="0"/>
        <a:lstStyle xmlns:a="http://schemas.openxmlformats.org/drawingml/2006/main"/>
        <a:p xmlns:a="http://schemas.openxmlformats.org/drawingml/2006/main"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Рентабельність,</a:t>
          </a:r>
          <a:r>
            <a:rPr lang="ru-RU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 %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cdr:txBody>
    </cdr:sp>
  </cdr:relSizeAnchor>
  <cdr:relSizeAnchor xmlns:cdr="http://schemas.openxmlformats.org/drawingml/2006/chartDrawing">
    <cdr:from>
      <cdr:x>0.32793</cdr:x>
      <cdr:y>0.90557</cdr:y>
    </cdr:from>
    <cdr:to>
      <cdr:x>0.75212</cdr:x>
      <cdr:y>1</cdr:y>
    </cdr:to>
    <cdr:sp macro="" textlink="">
      <cdr:nvSpPr>
        <cdr:cNvPr id="3" name="Поле 1"/>
        <cdr:cNvSpPr txBox="1"/>
      </cdr:nvSpPr>
      <cdr:spPr>
        <a:xfrm xmlns:a="http://schemas.openxmlformats.org/drawingml/2006/main">
          <a:off x="2013847" y="2484158"/>
          <a:ext cx="2604971" cy="259042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/>
        <a:p xmlns:a="http://schemas.openxmlformats.org/drawingml/2006/main">
          <a:r>
            <a:rPr lang="ru-RU" sz="1400">
              <a:latin typeface="Times New Roman" panose="02020603050405020304" pitchFamily="18" charset="0"/>
              <a:cs typeface="Times New Roman" panose="02020603050405020304" pitchFamily="18" charset="0"/>
            </a:rPr>
            <a:t>Тривал</a:t>
          </a:r>
          <a:r>
            <a:rPr lang="uk-UA" sz="1400">
              <a:latin typeface="Times New Roman" panose="02020603050405020304" pitchFamily="18" charset="0"/>
              <a:cs typeface="Times New Roman" panose="02020603050405020304" pitchFamily="18" charset="0"/>
            </a:rPr>
            <a:t>ість</a:t>
          </a:r>
          <a:r>
            <a:rPr lang="uk-UA" sz="1400" baseline="0">
              <a:latin typeface="Times New Roman" panose="02020603050405020304" pitchFamily="18" charset="0"/>
              <a:cs typeface="Times New Roman" panose="02020603050405020304" pitchFamily="18" charset="0"/>
            </a:rPr>
            <a:t> зберігання, місяць</a:t>
          </a:r>
          <a:endParaRPr lang="ru-RU" sz="1400">
            <a:latin typeface="Times New Roman" panose="02020603050405020304" pitchFamily="18" charset="0"/>
            <a:cs typeface="Times New Roman" panose="02020603050405020304" pitchFamily="18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word/theme/themeOverride2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Ｐゴシック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C794B7-0E74-4DDB-8955-8C1EE56C66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6</Pages>
  <Words>1834</Words>
  <Characters>10459</Characters>
  <Application>Microsoft Office Word</Application>
  <DocSecurity>0</DocSecurity>
  <Lines>87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12269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Ol'ga</dc:creator>
  <cp:lastModifiedBy>Ol'ga</cp:lastModifiedBy>
  <cp:revision>5</cp:revision>
  <dcterms:created xsi:type="dcterms:W3CDTF">2021-03-22T04:39:00Z</dcterms:created>
  <dcterms:modified xsi:type="dcterms:W3CDTF">2021-03-22T15:26:00Z</dcterms:modified>
</cp:coreProperties>
</file>