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DAC" w:rsidRPr="00282DAC" w:rsidRDefault="00282DAC" w:rsidP="00282DAC">
      <w:pPr>
        <w:pStyle w:val="a3"/>
        <w:ind w:left="0" w:firstLine="306"/>
        <w:jc w:val="both"/>
        <w:rPr>
          <w:b/>
          <w:bCs/>
          <w:caps/>
          <w:sz w:val="20"/>
          <w:szCs w:val="20"/>
          <w:lang w:val="ru-RU"/>
        </w:rPr>
      </w:pPr>
      <w:r w:rsidRPr="00282DAC">
        <w:rPr>
          <w:sz w:val="20"/>
          <w:szCs w:val="20"/>
        </w:rPr>
        <w:t>Комп’ютерне моделювання та інформаційні технології в науці, еко</w:t>
      </w:r>
      <w:bookmarkStart w:id="0" w:name="_GoBack"/>
      <w:bookmarkEnd w:id="0"/>
      <w:r w:rsidRPr="00282DAC">
        <w:rPr>
          <w:sz w:val="20"/>
          <w:szCs w:val="20"/>
        </w:rPr>
        <w:t>номіці, освіті.-Кривий Ріг 2002. - С.52-55.</w:t>
      </w:r>
    </w:p>
    <w:p w:rsidR="00282DAC" w:rsidRDefault="00282DAC">
      <w:pPr>
        <w:pStyle w:val="a3"/>
        <w:ind w:left="0" w:firstLine="306"/>
        <w:jc w:val="center"/>
        <w:rPr>
          <w:b/>
          <w:bCs/>
          <w:caps/>
          <w:sz w:val="22"/>
          <w:lang w:val="en-US"/>
        </w:rPr>
      </w:pPr>
    </w:p>
    <w:p w:rsidR="00282DAC" w:rsidRPr="00282DAC" w:rsidRDefault="00282DAC" w:rsidP="00282DAC">
      <w:pPr>
        <w:pStyle w:val="a3"/>
        <w:ind w:left="0" w:firstLine="306"/>
        <w:jc w:val="right"/>
        <w:rPr>
          <w:b/>
          <w:bCs/>
          <w:i/>
          <w:caps/>
          <w:sz w:val="22"/>
        </w:rPr>
      </w:pPr>
      <w:r>
        <w:rPr>
          <w:b/>
          <w:bCs/>
          <w:i/>
          <w:sz w:val="22"/>
        </w:rPr>
        <w:t>С</w:t>
      </w:r>
      <w:r w:rsidRPr="00282DAC">
        <w:rPr>
          <w:b/>
          <w:bCs/>
          <w:i/>
          <w:sz w:val="22"/>
        </w:rPr>
        <w:t xml:space="preserve">онько </w:t>
      </w:r>
      <w:r>
        <w:rPr>
          <w:b/>
          <w:bCs/>
          <w:i/>
          <w:sz w:val="22"/>
        </w:rPr>
        <w:t>С</w:t>
      </w:r>
      <w:r w:rsidRPr="00282DAC">
        <w:rPr>
          <w:b/>
          <w:bCs/>
          <w:i/>
          <w:sz w:val="22"/>
        </w:rPr>
        <w:t>.</w:t>
      </w:r>
      <w:r>
        <w:rPr>
          <w:b/>
          <w:bCs/>
          <w:i/>
          <w:sz w:val="22"/>
        </w:rPr>
        <w:t>П</w:t>
      </w:r>
      <w:r w:rsidRPr="00282DAC">
        <w:rPr>
          <w:b/>
          <w:bCs/>
          <w:i/>
          <w:sz w:val="22"/>
        </w:rPr>
        <w:t xml:space="preserve">., </w:t>
      </w:r>
      <w:proofErr w:type="spellStart"/>
      <w:r>
        <w:rPr>
          <w:b/>
          <w:bCs/>
          <w:i/>
          <w:sz w:val="22"/>
        </w:rPr>
        <w:t>З</w:t>
      </w:r>
      <w:r w:rsidRPr="00282DAC">
        <w:rPr>
          <w:b/>
          <w:bCs/>
          <w:i/>
          <w:sz w:val="22"/>
        </w:rPr>
        <w:t>авгородній</w:t>
      </w:r>
      <w:proofErr w:type="spellEnd"/>
      <w:r w:rsidRPr="00282DAC">
        <w:rPr>
          <w:b/>
          <w:bCs/>
          <w:i/>
          <w:sz w:val="22"/>
        </w:rPr>
        <w:t xml:space="preserve"> </w:t>
      </w:r>
      <w:r>
        <w:rPr>
          <w:b/>
          <w:bCs/>
          <w:i/>
          <w:sz w:val="22"/>
        </w:rPr>
        <w:t>А</w:t>
      </w:r>
      <w:r w:rsidRPr="00282DAC">
        <w:rPr>
          <w:b/>
          <w:bCs/>
          <w:i/>
          <w:sz w:val="22"/>
        </w:rPr>
        <w:t>.</w:t>
      </w:r>
      <w:r>
        <w:rPr>
          <w:b/>
          <w:bCs/>
          <w:i/>
          <w:sz w:val="22"/>
        </w:rPr>
        <w:t>В.</w:t>
      </w:r>
    </w:p>
    <w:p w:rsidR="00000000" w:rsidRDefault="00901A5A">
      <w:pPr>
        <w:pStyle w:val="a3"/>
        <w:ind w:left="0" w:firstLine="306"/>
        <w:jc w:val="center"/>
        <w:rPr>
          <w:b/>
          <w:bCs/>
          <w:caps/>
          <w:sz w:val="22"/>
        </w:rPr>
      </w:pPr>
      <w:r>
        <w:rPr>
          <w:b/>
          <w:bCs/>
          <w:caps/>
          <w:sz w:val="22"/>
        </w:rPr>
        <w:t>Деякі аспекти моделювання механізму фінансування екологічних заходів</w:t>
      </w:r>
    </w:p>
    <w:p w:rsidR="00000000" w:rsidRDefault="00901A5A">
      <w:pPr>
        <w:pStyle w:val="a3"/>
        <w:ind w:left="0" w:firstLine="306"/>
        <w:jc w:val="both"/>
        <w:rPr>
          <w:sz w:val="22"/>
        </w:rPr>
      </w:pPr>
    </w:p>
    <w:p w:rsidR="00000000" w:rsidRDefault="00901A5A">
      <w:pPr>
        <w:pStyle w:val="a3"/>
        <w:ind w:left="0" w:firstLine="306"/>
        <w:jc w:val="both"/>
        <w:rPr>
          <w:sz w:val="22"/>
        </w:rPr>
      </w:pPr>
      <w:r>
        <w:rPr>
          <w:sz w:val="22"/>
        </w:rPr>
        <w:t xml:space="preserve">Проведення заходів, передбачених </w:t>
      </w:r>
      <w:proofErr w:type="spellStart"/>
      <w:r>
        <w:rPr>
          <w:sz w:val="22"/>
        </w:rPr>
        <w:t>еколого-економічним</w:t>
      </w:r>
      <w:proofErr w:type="spellEnd"/>
      <w:r>
        <w:rPr>
          <w:sz w:val="22"/>
        </w:rPr>
        <w:t xml:space="preserve"> експериментом у місті Кривий Ріг, виявилось дуже ускладненим через відсутність належного фінансування. Отримання пільгового кредиту в</w:t>
      </w:r>
      <w:r>
        <w:rPr>
          <w:sz w:val="22"/>
        </w:rPr>
        <w:t>ід уряду Японії не відбулося з ряду причин. З коштів бюджетного фінансування одержано лише незначну частину. Під загрозою знаходиться не лише виконання програми експерименту, але й уся природа криворізького регіону, яка існує в умовах надзвичайного техноге</w:t>
      </w:r>
      <w:r>
        <w:rPr>
          <w:sz w:val="22"/>
        </w:rPr>
        <w:t>нного навантаження. Тому</w:t>
      </w:r>
      <w:r>
        <w:rPr>
          <w:sz w:val="22"/>
          <w:lang w:val="ru-RU"/>
        </w:rPr>
        <w:t>,</w:t>
      </w:r>
      <w:r>
        <w:rPr>
          <w:sz w:val="22"/>
        </w:rPr>
        <w:t xml:space="preserve"> дуже актуально постає питання про альтернативні джерела фінансування екологічних заходів.</w:t>
      </w:r>
    </w:p>
    <w:p w:rsidR="00000000" w:rsidRDefault="00901A5A">
      <w:pPr>
        <w:ind w:firstLine="306"/>
        <w:jc w:val="both"/>
        <w:rPr>
          <w:sz w:val="22"/>
          <w:lang w:val="uk-UA"/>
        </w:rPr>
      </w:pPr>
      <w:r>
        <w:rPr>
          <w:sz w:val="22"/>
          <w:lang w:val="uk-UA"/>
        </w:rPr>
        <w:t xml:space="preserve">Один з можливих варіантів розв’язання даної проблеми можна відобразити в моделі </w:t>
      </w:r>
      <w:proofErr w:type="spellStart"/>
      <w:r>
        <w:rPr>
          <w:sz w:val="22"/>
          <w:lang w:val="uk-UA"/>
        </w:rPr>
        <w:t>внутрішньорегіонального</w:t>
      </w:r>
      <w:proofErr w:type="spellEnd"/>
      <w:r>
        <w:rPr>
          <w:sz w:val="22"/>
          <w:lang w:val="uk-UA"/>
        </w:rPr>
        <w:t xml:space="preserve"> кредитування. Згідно з умовами експе</w:t>
      </w:r>
      <w:r>
        <w:rPr>
          <w:sz w:val="22"/>
          <w:lang w:val="uk-UA"/>
        </w:rPr>
        <w:t>рименту та діючим законодавством, кошти, сплачені підприємствами за забруднення навколишнього природного середовища, спрямовуються до бюджетів усіх рівнів, але потім під конкретні проекти повертаються до міського фонду охорони навколишнього природного сере</w:t>
      </w:r>
      <w:r>
        <w:rPr>
          <w:sz w:val="22"/>
          <w:lang w:val="uk-UA"/>
        </w:rPr>
        <w:t>довища. Крім того, 70% коштів, сплачених підприємствами гірничо-металургійного комплексу, залишається на цих підприємствах для проведення власних екологічних заходів. Проте сума цих коштів на кожному підприємстві різна, а тому її не завжди вистачає на пров</w:t>
      </w:r>
      <w:r>
        <w:rPr>
          <w:sz w:val="22"/>
          <w:lang w:val="uk-UA"/>
        </w:rPr>
        <w:t>едення великих важливих заходів. Також дещо ускладнюється контроль за використанням цих коштів, адже в умовах їх обмеженості більш бажаним є централізований розподіл фінансових ресурсів, що забезпечить виконання саме першочергових невідкладних заходів.</w:t>
      </w:r>
    </w:p>
    <w:p w:rsidR="00000000" w:rsidRDefault="00901A5A">
      <w:pPr>
        <w:ind w:firstLine="306"/>
        <w:jc w:val="both"/>
        <w:rPr>
          <w:sz w:val="22"/>
          <w:lang w:val="uk-UA"/>
        </w:rPr>
      </w:pPr>
      <w:r>
        <w:rPr>
          <w:sz w:val="22"/>
          <w:lang w:val="uk-UA"/>
        </w:rPr>
        <w:t>Так</w:t>
      </w:r>
      <w:r>
        <w:rPr>
          <w:sz w:val="22"/>
          <w:lang w:val="uk-UA"/>
        </w:rPr>
        <w:t xml:space="preserve">им чином, основою даної моделі є припущення про те, що вищезгадані 70% коштів надходять до міського фонду охорони навколишнього природного середовища, а вже потім у відповідних пропорціях розподіляються з нього. При цьому </w:t>
      </w:r>
      <w:r>
        <w:rPr>
          <w:sz w:val="22"/>
          <w:lang w:val="uk-UA"/>
        </w:rPr>
        <w:lastRenderedPageBreak/>
        <w:t xml:space="preserve">перерозподіл відбувається залежно </w:t>
      </w:r>
      <w:r>
        <w:rPr>
          <w:sz w:val="22"/>
          <w:lang w:val="uk-UA"/>
        </w:rPr>
        <w:t xml:space="preserve">від першочерговості заходів, які необхідно провести на підприємствах. Нехай річний розмір сплати кожного підприємства за забруднення навколишнього природного середовища дорівнює відповідно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1</w:t>
      </w:r>
      <w:r>
        <w:rPr>
          <w:sz w:val="22"/>
          <w:lang w:val="uk-UA"/>
        </w:rPr>
        <w:t>,</w:t>
      </w:r>
      <w:r>
        <w:rPr>
          <w:i/>
          <w:iCs/>
          <w:sz w:val="22"/>
          <w:lang w:val="uk-UA"/>
        </w:rPr>
        <w:t xml:space="preserve">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2</w:t>
      </w:r>
      <w:r>
        <w:rPr>
          <w:sz w:val="22"/>
          <w:lang w:val="uk-UA"/>
        </w:rPr>
        <w:t>,</w:t>
      </w:r>
      <w:r>
        <w:rPr>
          <w:i/>
          <w:iCs/>
          <w:sz w:val="22"/>
          <w:lang w:val="uk-UA"/>
        </w:rPr>
        <w:t xml:space="preserve">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3</w:t>
      </w:r>
      <w:r>
        <w:rPr>
          <w:sz w:val="22"/>
          <w:lang w:val="uk-UA"/>
        </w:rPr>
        <w:t xml:space="preserve"> ...</w:t>
      </w:r>
      <w:r>
        <w:rPr>
          <w:i/>
          <w:iCs/>
          <w:sz w:val="22"/>
          <w:lang w:val="uk-UA"/>
        </w:rPr>
        <w:t xml:space="preserve"> </w:t>
      </w:r>
      <w:proofErr w:type="spellStart"/>
      <w:proofErr w:type="gramStart"/>
      <w:r>
        <w:rPr>
          <w:i/>
          <w:iCs/>
          <w:sz w:val="22"/>
        </w:rPr>
        <w:t>x</w:t>
      </w:r>
      <w:r>
        <w:rPr>
          <w:sz w:val="22"/>
          <w:vertAlign w:val="subscript"/>
        </w:rPr>
        <w:t>n</w:t>
      </w:r>
      <w:proofErr w:type="spellEnd"/>
      <w:proofErr w:type="gramEnd"/>
      <w:r>
        <w:rPr>
          <w:sz w:val="22"/>
          <w:lang w:val="uk-UA"/>
        </w:rPr>
        <w:t xml:space="preserve">, де </w:t>
      </w:r>
      <w:r>
        <w:rPr>
          <w:sz w:val="22"/>
        </w:rPr>
        <w:t>n</w:t>
      </w:r>
      <w:r>
        <w:rPr>
          <w:sz w:val="22"/>
          <w:lang w:val="uk-UA"/>
        </w:rPr>
        <w:t xml:space="preserve"> – кількість підприємств, що сплачують цей з</w:t>
      </w:r>
      <w:r>
        <w:rPr>
          <w:sz w:val="22"/>
          <w:lang w:val="uk-UA"/>
        </w:rPr>
        <w:t>бір. Тоді за рік міський фонд охорони навколишнього природного середовища матиме надходження, які дорівнюють ∑</w:t>
      </w:r>
      <w:r>
        <w:rPr>
          <w:i/>
          <w:iCs/>
          <w:sz w:val="22"/>
        </w:rPr>
        <w:t>x</w:t>
      </w:r>
      <w:r>
        <w:rPr>
          <w:sz w:val="22"/>
          <w:vertAlign w:val="subscript"/>
        </w:rPr>
        <w:t>i</w:t>
      </w:r>
      <w:r>
        <w:rPr>
          <w:sz w:val="22"/>
          <w:lang w:val="uk-UA"/>
        </w:rPr>
        <w:t xml:space="preserve"> (</w:t>
      </w:r>
      <w:proofErr w:type="spellStart"/>
      <w:r>
        <w:rPr>
          <w:sz w:val="22"/>
        </w:rPr>
        <w:t>i</w:t>
      </w:r>
      <w:proofErr w:type="spellEnd"/>
      <w:r>
        <w:rPr>
          <w:sz w:val="22"/>
          <w:lang w:val="uk-UA"/>
        </w:rPr>
        <w:t>=1…</w:t>
      </w:r>
      <w:r>
        <w:rPr>
          <w:sz w:val="22"/>
        </w:rPr>
        <w:t>n</w:t>
      </w:r>
      <w:r>
        <w:rPr>
          <w:sz w:val="22"/>
          <w:lang w:val="uk-UA"/>
        </w:rPr>
        <w:t>), при цьому 0,8∑</w:t>
      </w:r>
      <w:r>
        <w:rPr>
          <w:i/>
          <w:iCs/>
          <w:sz w:val="22"/>
        </w:rPr>
        <w:t>x</w:t>
      </w:r>
      <w:r>
        <w:rPr>
          <w:sz w:val="22"/>
          <w:vertAlign w:val="subscript"/>
        </w:rPr>
        <w:t>i</w:t>
      </w:r>
      <w:r>
        <w:rPr>
          <w:sz w:val="22"/>
          <w:lang w:val="uk-UA"/>
        </w:rPr>
        <w:t xml:space="preserve"> буде отримано безпосередньо, а 0,2∑</w:t>
      </w:r>
      <w:r>
        <w:rPr>
          <w:i/>
          <w:iCs/>
          <w:sz w:val="22"/>
        </w:rPr>
        <w:t>x</w:t>
      </w:r>
      <w:r>
        <w:rPr>
          <w:sz w:val="22"/>
          <w:vertAlign w:val="subscript"/>
        </w:rPr>
        <w:t>i</w:t>
      </w:r>
      <w:r>
        <w:rPr>
          <w:sz w:val="22"/>
          <w:lang w:val="uk-UA"/>
        </w:rPr>
        <w:t xml:space="preserve"> міський фонд зможе одержати з обласного та державного фондів після виконання ко</w:t>
      </w:r>
      <w:r>
        <w:rPr>
          <w:sz w:val="22"/>
          <w:lang w:val="uk-UA"/>
        </w:rPr>
        <w:t>нкретних проектів. Як свідчить практика, ця сума досить незначна порівняно з обсягом робіт, які необхідно провести для суттєвого поліпшення екологічної ситуації в криворізькому регіоні, а тому до уваги береться пріоритет певних заходів. Звісно, якщо поверн</w:t>
      </w:r>
      <w:r>
        <w:rPr>
          <w:sz w:val="22"/>
          <w:lang w:val="uk-UA"/>
        </w:rPr>
        <w:t>ути 70% зібраних коштів підприємствам, то відбудеться просто їх розпилення. Тих коштів, що залишаться у фонді вистачить (як показав досвід перших років проведення експерименту в місті) лише на те, щоб частково профінансувати декілька проектів, а тому об’єк</w:t>
      </w:r>
      <w:r>
        <w:rPr>
          <w:sz w:val="22"/>
          <w:lang w:val="uk-UA"/>
        </w:rPr>
        <w:t xml:space="preserve">ти першочергового значення будуються протягом декількох років. Відповідні суми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1</w:t>
      </w:r>
      <w:r>
        <w:rPr>
          <w:sz w:val="22"/>
          <w:lang w:val="uk-UA"/>
        </w:rPr>
        <w:t>,</w:t>
      </w:r>
      <w:r>
        <w:rPr>
          <w:i/>
          <w:iCs/>
          <w:sz w:val="22"/>
          <w:lang w:val="uk-UA"/>
        </w:rPr>
        <w:t xml:space="preserve">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2</w:t>
      </w:r>
      <w:r>
        <w:rPr>
          <w:sz w:val="22"/>
          <w:lang w:val="uk-UA"/>
        </w:rPr>
        <w:t>,</w:t>
      </w:r>
      <w:r>
        <w:rPr>
          <w:i/>
          <w:iCs/>
          <w:sz w:val="22"/>
          <w:lang w:val="uk-UA"/>
        </w:rPr>
        <w:t xml:space="preserve"> 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3</w:t>
      </w:r>
      <w:r>
        <w:rPr>
          <w:sz w:val="22"/>
          <w:lang w:val="uk-UA"/>
        </w:rPr>
        <w:t xml:space="preserve"> ...</w:t>
      </w:r>
      <w:r>
        <w:rPr>
          <w:i/>
          <w:iCs/>
          <w:sz w:val="22"/>
          <w:lang w:val="uk-UA"/>
        </w:rPr>
        <w:t xml:space="preserve"> </w:t>
      </w:r>
      <w:proofErr w:type="spellStart"/>
      <w:proofErr w:type="gramStart"/>
      <w:r>
        <w:rPr>
          <w:i/>
          <w:iCs/>
          <w:sz w:val="22"/>
        </w:rPr>
        <w:t>x</w:t>
      </w:r>
      <w:r>
        <w:rPr>
          <w:sz w:val="22"/>
          <w:vertAlign w:val="subscript"/>
        </w:rPr>
        <w:t>n</w:t>
      </w:r>
      <w:proofErr w:type="spellEnd"/>
      <w:proofErr w:type="gramEnd"/>
      <w:r>
        <w:rPr>
          <w:sz w:val="22"/>
          <w:lang w:val="uk-UA"/>
        </w:rPr>
        <w:t xml:space="preserve"> також окремо не приносять суттєвої користі підприємствам, і для здійснення вагомих заходів їм доводиться залучати додаткові власні кошти, яких не завжди вистач</w:t>
      </w:r>
      <w:r>
        <w:rPr>
          <w:sz w:val="22"/>
          <w:lang w:val="uk-UA"/>
        </w:rPr>
        <w:t xml:space="preserve">ає. Припустимо, що на деякому підприємстві №5, викиди якого найбільше забруднюють природне середовище і яке знаходиться у безпосередній близькості до житлових районів, для проведення комплексу робіт по знешкодженню негативного впливу потрібна сума, якої в </w:t>
      </w:r>
      <w:r>
        <w:rPr>
          <w:sz w:val="22"/>
          <w:lang w:val="uk-UA"/>
        </w:rPr>
        <w:t xml:space="preserve">даний час немає на підприємстві і яка в </w:t>
      </w:r>
      <w:r>
        <w:rPr>
          <w:sz w:val="22"/>
        </w:rPr>
        <w:t>m</w:t>
      </w:r>
      <w:r>
        <w:rPr>
          <w:sz w:val="22"/>
          <w:lang w:val="uk-UA"/>
        </w:rPr>
        <w:t xml:space="preserve"> разів перевищує розмір щорічного внеску цього підприємства до міського фонду охорони навколишнього природного середовища, тобто </w:t>
      </w:r>
      <w:r>
        <w:rPr>
          <w:sz w:val="22"/>
        </w:rPr>
        <w:t>m</w:t>
      </w:r>
      <w:r>
        <w:rPr>
          <w:sz w:val="22"/>
          <w:lang w:val="uk-UA"/>
        </w:rPr>
        <w:t>*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5</w:t>
      </w:r>
      <w:r>
        <w:rPr>
          <w:sz w:val="22"/>
          <w:lang w:val="uk-UA"/>
        </w:rPr>
        <w:t xml:space="preserve">. Якщо </w:t>
      </w:r>
      <w:r>
        <w:rPr>
          <w:sz w:val="22"/>
        </w:rPr>
        <w:t>m</w:t>
      </w:r>
      <w:r>
        <w:rPr>
          <w:sz w:val="22"/>
          <w:lang w:val="uk-UA"/>
        </w:rPr>
        <w:t>*</w:t>
      </w:r>
      <w:r>
        <w:rPr>
          <w:i/>
          <w:iCs/>
          <w:sz w:val="22"/>
        </w:rPr>
        <w:t>x</w:t>
      </w:r>
      <w:r>
        <w:rPr>
          <w:sz w:val="22"/>
          <w:vertAlign w:val="subscript"/>
          <w:lang w:val="uk-UA"/>
        </w:rPr>
        <w:t>5</w:t>
      </w:r>
      <w:r>
        <w:rPr>
          <w:sz w:val="22"/>
          <w:lang w:val="uk-UA"/>
        </w:rPr>
        <w:t>&lt;∑</w:t>
      </w:r>
      <w:r>
        <w:rPr>
          <w:i/>
          <w:iCs/>
          <w:sz w:val="22"/>
        </w:rPr>
        <w:t>x</w:t>
      </w:r>
      <w:r>
        <w:rPr>
          <w:sz w:val="22"/>
          <w:vertAlign w:val="subscript"/>
        </w:rPr>
        <w:t>i</w:t>
      </w:r>
      <w:r>
        <w:rPr>
          <w:sz w:val="22"/>
          <w:lang w:val="uk-UA"/>
        </w:rPr>
        <w:t>, то проведення даного першочергового заходу може бути в повному об</w:t>
      </w:r>
      <w:r>
        <w:rPr>
          <w:sz w:val="22"/>
          <w:lang w:val="uk-UA"/>
        </w:rPr>
        <w:t xml:space="preserve">сязі профінансоване в поточному році за рахунок фондових ресурсів (за умови, що коштів, що залишаться у фонді, вистачить на проведення певних поточних заходів). Тоді для того, щоб повернути отримані кошти, достатньо буде того, що підприємство справно буде </w:t>
      </w:r>
      <w:r>
        <w:rPr>
          <w:sz w:val="22"/>
          <w:lang w:val="uk-UA"/>
        </w:rPr>
        <w:t xml:space="preserve">робити свої внески до фонду </w:t>
      </w:r>
      <w:r>
        <w:rPr>
          <w:sz w:val="22"/>
          <w:lang w:val="uk-UA"/>
        </w:rPr>
        <w:lastRenderedPageBreak/>
        <w:t xml:space="preserve">протягом наступних </w:t>
      </w:r>
      <w:r>
        <w:rPr>
          <w:sz w:val="22"/>
        </w:rPr>
        <w:t>m</w:t>
      </w:r>
      <w:r>
        <w:rPr>
          <w:sz w:val="22"/>
          <w:lang w:val="uk-UA"/>
        </w:rPr>
        <w:t>-1 років. Звісно, воно зможе погасити заборгованість і достроково, якщо для цього будуть відповідні кошти. Для того, щоб стимулювати підприємство швидше повернути кошти, ця операція може бути оформлена як дов</w:t>
      </w:r>
      <w:r>
        <w:rPr>
          <w:sz w:val="22"/>
          <w:lang w:val="uk-UA"/>
        </w:rPr>
        <w:t xml:space="preserve">гостроковий пільговий кредит з невисокою річною відсотковою ставкою </w:t>
      </w:r>
      <w:r>
        <w:rPr>
          <w:sz w:val="22"/>
        </w:rPr>
        <w:t>r</w:t>
      </w:r>
      <w:r>
        <w:rPr>
          <w:sz w:val="22"/>
          <w:lang w:val="uk-UA"/>
        </w:rPr>
        <w:t xml:space="preserve">. Цей механізм буде ще більш дієвим, якщо згідно умов кредиту відсоткова ставка </w:t>
      </w:r>
      <w:r>
        <w:rPr>
          <w:sz w:val="22"/>
        </w:rPr>
        <w:t>r</w:t>
      </w:r>
      <w:r>
        <w:rPr>
          <w:sz w:val="22"/>
          <w:lang w:val="uk-UA"/>
        </w:rPr>
        <w:t xml:space="preserve"> буде щорічно збільшуватись на певну величину ∆</w:t>
      </w:r>
      <w:r>
        <w:rPr>
          <w:sz w:val="22"/>
        </w:rPr>
        <w:t>r</w:t>
      </w:r>
      <w:r>
        <w:rPr>
          <w:sz w:val="22"/>
          <w:lang w:val="uk-UA"/>
        </w:rPr>
        <w:t>.</w:t>
      </w:r>
    </w:p>
    <w:p w:rsidR="00901A5A" w:rsidRDefault="00901A5A">
      <w:pPr>
        <w:ind w:firstLine="306"/>
        <w:jc w:val="both"/>
        <w:rPr>
          <w:sz w:val="28"/>
          <w:lang w:val="uk-UA"/>
        </w:rPr>
      </w:pPr>
    </w:p>
    <w:sectPr w:rsidR="00901A5A">
      <w:pgSz w:w="8392" w:h="11907" w:code="11"/>
      <w:pgMar w:top="1021" w:right="1021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17"/>
  <w:drawingGridVerticalSpacing w:val="17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82DAC"/>
    <w:rsid w:val="00282DAC"/>
    <w:rsid w:val="00901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en-US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ind w:left="-540" w:firstLine="540"/>
    </w:pPr>
    <w:rPr>
      <w:sz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2824</Words>
  <Characters>1611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Проведення заходів, передбачених еколого-економічним експериментом у місті Кривий Ріг, виявилось дуже ускладненим через відсут</vt:lpstr>
    </vt:vector>
  </TitlesOfParts>
  <Company>***</Company>
  <LinksUpToDate>false</LinksUpToDate>
  <CharactersWithSpaces>4427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Проведення заходів, передбачених еколого-економічним експериментом у місті Кривий Ріг, виявилось дуже ускладненим через відсут</dc:title>
  <dc:subject/>
  <dc:creator>***</dc:creator>
  <cp:keywords/>
  <dc:description/>
  <cp:lastModifiedBy>s-nout</cp:lastModifiedBy>
  <cp:revision>2</cp:revision>
  <dcterms:created xsi:type="dcterms:W3CDTF">2015-12-22T07:25:00Z</dcterms:created>
  <dcterms:modified xsi:type="dcterms:W3CDTF">2015-12-22T07:25:00Z</dcterms:modified>
</cp:coreProperties>
</file>